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FF7" w:rsidRDefault="000B1FF7" w:rsidP="005C6967">
      <w:pPr>
        <w:pStyle w:val="Heading1"/>
      </w:pPr>
      <w:r>
        <w:br/>
      </w:r>
      <w:r>
        <w:br/>
        <w:t>Default NTGRs</w:t>
      </w:r>
    </w:p>
    <w:p w:rsidR="000B1FF7" w:rsidRDefault="000B1FF7" w:rsidP="00CF5081">
      <w:r>
        <w:t xml:space="preserve">This section develops recommended NTGR values for use in the event that there are no available evaluated NTGR estimates to use for a particular combination of energy efficiency measures and program designs in future program applications.  In the previous DEER update, the DEER team had recommended a similar set of default NTGR values for specific types of programs which were partially adopted by the CPUC.  In this cycle, we provide similar recommendations and expanded support for the importance of adopting three specific default values for use in future program years.  </w:t>
      </w:r>
    </w:p>
    <w:p w:rsidR="000B1FF7" w:rsidRDefault="000B1FF7" w:rsidP="00CF5081">
      <w:r>
        <w:t>A goal of the current DEER NTFR update is to expand the list of measures and program delivery strategies with relevant NTFR estimates so that the use of default NTFRs decreases.   In the previous chapters, we have provided additional NTGR values for the high impact measures (that represent at least one percent of forecasted savings at the portfolio level but we recognize there are still quite a large number of measures and program delivery methods where no applicable DEER NTG value is present in the data base. Thus the need for default NTGR’s.</w:t>
      </w:r>
    </w:p>
    <w:p w:rsidR="000B1FF7" w:rsidRDefault="000B1FF7" w:rsidP="00CF5081">
      <w:r>
        <w:t xml:space="preserve">In previous DEER updates, default NTGR values ranging from 0.54 to 0.85 had been recommended based on compilations of NTG results across a broad array of market sectors and programs. In this cycle we recommend three specific DEER default NTGR values be used that vary as a function of market segment and the number of years that energy efficiency measures have been offered by programs. This approach is designed to increase the probability that evaluations of net savings are conducted within the first two years that new energy efficiency measures are introduced into utility efficiency programs. </w:t>
      </w:r>
    </w:p>
    <w:p w:rsidR="000B1FF7" w:rsidRDefault="000B1FF7" w:rsidP="00311ED5">
      <w:r>
        <w:t xml:space="preserve">Specifically we are recommending a three prong default approach that sets the actual NTGR value based on the number of years that a measure has been promoted using a specific program delivery approach and the targeted market segment. </w:t>
      </w:r>
      <w:r w:rsidRPr="00700B29">
        <w:t>Th</w:t>
      </w:r>
      <w:r>
        <w:t>e</w:t>
      </w:r>
      <w:r w:rsidRPr="00700B29">
        <w:t xml:space="preserve"> recommended approach for setting default NTFR values </w:t>
      </w:r>
      <w:r>
        <w:t>is as follows</w:t>
      </w:r>
    </w:p>
    <w:p w:rsidR="000B1FF7" w:rsidRDefault="000B1FF7" w:rsidP="00AD2254">
      <w:pPr>
        <w:pStyle w:val="pB"/>
        <w:numPr>
          <w:ilvl w:val="0"/>
          <w:numId w:val="48"/>
        </w:numPr>
      </w:pPr>
      <w:r w:rsidRPr="00123438">
        <w:t xml:space="preserve">For </w:t>
      </w:r>
      <w:r>
        <w:t xml:space="preserve">energy efficiency </w:t>
      </w:r>
      <w:r w:rsidRPr="00123438">
        <w:t>measures targeted to hard-to-reach populations</w:t>
      </w:r>
      <w:r>
        <w:t xml:space="preserve"> using </w:t>
      </w:r>
      <w:r w:rsidRPr="00123438">
        <w:t xml:space="preserve">direct installation delivery methods, </w:t>
      </w:r>
      <w:r>
        <w:t xml:space="preserve">  t</w:t>
      </w:r>
      <w:r w:rsidRPr="00123438">
        <w:t>he recommended default NTFR value is 0.85.</w:t>
      </w:r>
      <w:r w:rsidRPr="00AD42FF">
        <w:t xml:space="preserve"> </w:t>
      </w:r>
    </w:p>
    <w:p w:rsidR="000B1FF7" w:rsidRDefault="000B1FF7" w:rsidP="00AD2254">
      <w:pPr>
        <w:pStyle w:val="pB"/>
        <w:numPr>
          <w:ilvl w:val="0"/>
          <w:numId w:val="48"/>
        </w:numPr>
      </w:pPr>
      <w:r>
        <w:lastRenderedPageBreak/>
        <w:t xml:space="preserve">For energy efficiency measures that have been offered for two years or less using all other delivery methods and targeted to market segments besides </w:t>
      </w:r>
      <w:r w:rsidR="005C6967">
        <w:t xml:space="preserve">the hard to reach populations) </w:t>
      </w:r>
      <w:r>
        <w:t>a default NTFR value of 0.70 is recommended.</w:t>
      </w:r>
    </w:p>
    <w:p w:rsidR="000B1FF7" w:rsidRDefault="000B1FF7" w:rsidP="00AD2254">
      <w:pPr>
        <w:pStyle w:val="pB"/>
        <w:numPr>
          <w:ilvl w:val="0"/>
          <w:numId w:val="48"/>
        </w:numPr>
      </w:pPr>
      <w:r>
        <w:t xml:space="preserve">Finally for energy efficiency measures that have been offered by programs for more than two years using the same delivery mechanism and no changes in qualifying levels, a default NTGR value of 0.55 for residential programs and 0.60 for commercial and industrial programs is recommended. </w:t>
      </w:r>
    </w:p>
    <w:p w:rsidR="000B1FF7" w:rsidRDefault="000B1FF7" w:rsidP="00886546">
      <w:pPr>
        <w:pStyle w:val="Heading2"/>
        <w:numPr>
          <w:ilvl w:val="1"/>
          <w:numId w:val="46"/>
        </w:numPr>
      </w:pPr>
      <w:r>
        <w:t xml:space="preserve">Rationale for Default </w:t>
      </w:r>
      <w:r w:rsidR="005C6967">
        <w:t xml:space="preserve">Values  </w:t>
      </w:r>
    </w:p>
    <w:p w:rsidR="000B1FF7" w:rsidRDefault="000B1FF7" w:rsidP="00886546">
      <w:pPr>
        <w:pStyle w:val="Heading3"/>
        <w:numPr>
          <w:ilvl w:val="2"/>
          <w:numId w:val="46"/>
        </w:numPr>
      </w:pPr>
      <w:r>
        <w:t>Default Values for the Hard to Reach Population</w:t>
      </w:r>
    </w:p>
    <w:p w:rsidR="000B1FF7" w:rsidRDefault="000B1FF7" w:rsidP="001B56AA">
      <w:r>
        <w:t xml:space="preserve">The DEER NTG Team reviewed 4 evaluations of NTGR ratios for residential and nonresidential direct install programs targeted to hard to reach populations in 2008.  </w:t>
      </w:r>
      <w:r w:rsidRPr="00AD42FF">
        <w:t xml:space="preserve">The average NTGR value from the two studies for Residential Direct Install measures was 83%, the average for two studies for the Nonresidential NTGRs was 91.5%. </w:t>
      </w:r>
      <w:r>
        <w:t xml:space="preserve"> </w:t>
      </w:r>
    </w:p>
    <w:p w:rsidR="000B1FF7" w:rsidRDefault="000B1FF7" w:rsidP="001B56AA">
      <w:r w:rsidRPr="00AD42FF">
        <w:t xml:space="preserve">Using a value of 85% NTGR for direct install measure targeted at hard to reach customers provides a relatively high value, while still leaving some symmetry in the associated risk (that is, an even higher default value would leave little room for upward ex post adjustments and would increase the probability of downward ex post adjustments).  </w:t>
      </w:r>
    </w:p>
    <w:p w:rsidR="000B1FF7" w:rsidRPr="00AD42FF" w:rsidRDefault="000B1FF7" w:rsidP="00886546">
      <w:pPr>
        <w:pStyle w:val="Heading3"/>
        <w:numPr>
          <w:ilvl w:val="2"/>
          <w:numId w:val="46"/>
        </w:numPr>
      </w:pPr>
      <w:r w:rsidRPr="00AD42FF">
        <w:t xml:space="preserve">Rationale for the Use of .70 NTG Value </w:t>
      </w:r>
    </w:p>
    <w:p w:rsidR="000B1FF7" w:rsidRDefault="000B1FF7" w:rsidP="001B56AA">
      <w:r w:rsidRPr="00AD42FF">
        <w:t>Ideally</w:t>
      </w:r>
      <w:r>
        <w:t>,</w:t>
      </w:r>
      <w:r w:rsidRPr="00AD42FF">
        <w:t xml:space="preserve"> the NTFR default value should represent the average NTFR value one could expect to be estimated for any given measure and delivery strategy</w:t>
      </w:r>
      <w:r>
        <w:t xml:space="preserve"> over an entire portfolio of programs and measures. </w:t>
      </w:r>
      <w:r w:rsidRPr="00AD42FF">
        <w:t xml:space="preserve"> One proxy for this value could be the average weighted or un</w:t>
      </w:r>
      <w:r>
        <w:t>-</w:t>
      </w:r>
      <w:r w:rsidRPr="00AD42FF">
        <w:t>weighted NTG value</w:t>
      </w:r>
      <w:r>
        <w:t>s estimated for the most recently set of evaluated programs. In 2008 we performed this analysis for the evaluations conducted on the</w:t>
      </w:r>
      <w:r w:rsidRPr="00AD42FF">
        <w:t xml:space="preserve"> </w:t>
      </w:r>
      <w:r>
        <w:t xml:space="preserve">2004-2005 </w:t>
      </w:r>
      <w:r w:rsidRPr="00AD42FF">
        <w:t>programs</w:t>
      </w:r>
      <w:r>
        <w:t xml:space="preserve">. In the 2011 update we have also calculated the average NTGR for all programs evaluated in 2006-08 studies weighted by the estimated energy savings for each program evaluated.   We present both calculations below. </w:t>
      </w:r>
    </w:p>
    <w:p w:rsidR="000B1FF7" w:rsidRPr="00C664C3" w:rsidRDefault="000B1FF7" w:rsidP="007D6A05">
      <w:pPr>
        <w:pStyle w:val="Heading4"/>
        <w:numPr>
          <w:ilvl w:val="3"/>
          <w:numId w:val="46"/>
        </w:numPr>
      </w:pPr>
      <w:r w:rsidRPr="00C664C3">
        <w:t>NTG</w:t>
      </w:r>
      <w:r>
        <w:t>R</w:t>
      </w:r>
      <w:r w:rsidRPr="00C664C3">
        <w:t xml:space="preserve"> </w:t>
      </w:r>
      <w:r w:rsidR="005C6967" w:rsidRPr="00C664C3">
        <w:t xml:space="preserve">Estimate </w:t>
      </w:r>
      <w:r w:rsidRPr="00C664C3">
        <w:t xml:space="preserve">for </w:t>
      </w:r>
      <w:r>
        <w:t xml:space="preserve">all </w:t>
      </w:r>
      <w:r w:rsidR="005C6967">
        <w:t xml:space="preserve">Evaluated </w:t>
      </w:r>
      <w:r w:rsidRPr="00C664C3">
        <w:t xml:space="preserve">2004-2005 </w:t>
      </w:r>
      <w:r w:rsidR="005C6967" w:rsidRPr="00C664C3">
        <w:t>Programs</w:t>
      </w:r>
    </w:p>
    <w:p w:rsidR="000B1FF7" w:rsidRDefault="000B1FF7" w:rsidP="006A6AAC">
      <w:r>
        <w:t xml:space="preserve">The DEER team calculated both the un-weighted NTG average based on all measure- delivery combinations in the summary NTG table and the energy savings weighted NTG ratio for the same programs for 2005 and 2006-08.  </w:t>
      </w:r>
    </w:p>
    <w:p w:rsidR="000B1FF7" w:rsidRPr="00AD42FF" w:rsidRDefault="000B1FF7" w:rsidP="001B56AA">
      <w:r w:rsidRPr="00AD42FF">
        <w:t>The DEER Team’s  initial estimate was that the average estimated NTFR across all measures  had declined by about 10 percentage points (from 80% to 70%) when comparing the historic</w:t>
      </w:r>
      <w:r>
        <w:t>al NTFR</w:t>
      </w:r>
      <w:r w:rsidRPr="00AD42FF">
        <w:t xml:space="preserve">s to the recommended NTFR values for 2009-2011 and taking into account that spillover </w:t>
      </w:r>
      <w:r w:rsidRPr="00AD42FF">
        <w:lastRenderedPageBreak/>
        <w:t xml:space="preserve">was included in some of the values that were averaged in the previous value of 0.8. </w:t>
      </w:r>
      <w:r>
        <w:t xml:space="preserve"> </w:t>
      </w:r>
      <w:r w:rsidRPr="00AD42FF">
        <w:t xml:space="preserve">The DEER Team calculated the mean and median NTFR values for the utility historic and recommended NTFR cases for each sector and for the portfolio as a whole. </w:t>
      </w:r>
      <w:r>
        <w:t xml:space="preserve"> </w:t>
      </w:r>
      <w:r w:rsidRPr="00AD42FF">
        <w:t xml:space="preserve">The results of this calculation for the residential and </w:t>
      </w:r>
      <w:r>
        <w:t>nonres</w:t>
      </w:r>
      <w:r w:rsidRPr="00AD42FF">
        <w:t xml:space="preserve">idential sector are shown in </w:t>
      </w:r>
      <w:fldSimple w:instr=" REF _Ref307571896 ">
        <w:r>
          <w:t xml:space="preserve">Table </w:t>
        </w:r>
        <w:r>
          <w:rPr>
            <w:noProof/>
          </w:rPr>
          <w:t>15</w:t>
        </w:r>
        <w:r>
          <w:noBreakHyphen/>
        </w:r>
        <w:r>
          <w:rPr>
            <w:noProof/>
          </w:rPr>
          <w:t>1</w:t>
        </w:r>
      </w:fldSimple>
      <w:r>
        <w:t>.</w:t>
      </w:r>
      <w:r w:rsidRPr="00AD42FF">
        <w:t xml:space="preserve"> </w:t>
      </w:r>
    </w:p>
    <w:p w:rsidR="000B1FF7" w:rsidRPr="00626457" w:rsidRDefault="000B1FF7" w:rsidP="001B56AA">
      <w:pPr>
        <w:pStyle w:val="Caption"/>
      </w:pPr>
      <w:bookmarkStart w:id="0" w:name="_Ref307571896"/>
      <w:r>
        <w:t xml:space="preserve">Table </w:t>
      </w:r>
      <w:fldSimple w:instr=" STYLEREF 1 \s ">
        <w:r>
          <w:rPr>
            <w:noProof/>
          </w:rPr>
          <w:t>15</w:t>
        </w:r>
      </w:fldSimple>
      <w:r>
        <w:noBreakHyphen/>
      </w:r>
      <w:fldSimple w:instr=" SEQ Table \* ARABIC \s 1 ">
        <w:r>
          <w:rPr>
            <w:noProof/>
          </w:rPr>
          <w:t>1</w:t>
        </w:r>
      </w:fldSimple>
      <w:bookmarkEnd w:id="0"/>
      <w:r>
        <w:t xml:space="preserve">:  </w:t>
      </w:r>
      <w:r w:rsidRPr="00626457">
        <w:t>Comparison of Previous NTGs to DEER 2009-2011 Planning NTGs</w:t>
      </w:r>
    </w:p>
    <w:tbl>
      <w:tblPr>
        <w:tblW w:w="90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1E0"/>
      </w:tblPr>
      <w:tblGrid>
        <w:gridCol w:w="3355"/>
        <w:gridCol w:w="3103"/>
        <w:gridCol w:w="2542"/>
      </w:tblGrid>
      <w:tr w:rsidR="000B1FF7" w:rsidRPr="0043797B" w:rsidTr="00545A68">
        <w:tc>
          <w:tcPr>
            <w:tcW w:w="3355" w:type="dxa"/>
            <w:tcBorders>
              <w:top w:val="single" w:sz="12" w:space="0" w:color="auto"/>
              <w:bottom w:val="single" w:sz="12" w:space="0" w:color="auto"/>
            </w:tcBorders>
            <w:shd w:val="pct20" w:color="auto" w:fill="FFFFFF"/>
            <w:vAlign w:val="bottom"/>
          </w:tcPr>
          <w:p w:rsidR="000B1FF7" w:rsidRPr="0043797B" w:rsidRDefault="000B1FF7" w:rsidP="003B1A31">
            <w:pPr>
              <w:spacing w:after="0"/>
              <w:rPr>
                <w:b/>
                <w:bCs/>
                <w:sz w:val="20"/>
              </w:rPr>
            </w:pPr>
            <w:r w:rsidRPr="0043797B">
              <w:rPr>
                <w:b/>
                <w:bCs/>
                <w:sz w:val="20"/>
              </w:rPr>
              <w:t>Sector</w:t>
            </w:r>
          </w:p>
        </w:tc>
        <w:tc>
          <w:tcPr>
            <w:tcW w:w="3103" w:type="dxa"/>
            <w:tcBorders>
              <w:top w:val="single" w:sz="12" w:space="0" w:color="auto"/>
              <w:bottom w:val="single" w:sz="12" w:space="0" w:color="auto"/>
            </w:tcBorders>
            <w:shd w:val="pct20" w:color="auto" w:fill="FFFFFF"/>
            <w:vAlign w:val="bottom"/>
          </w:tcPr>
          <w:p w:rsidR="000B1FF7" w:rsidRPr="0043797B" w:rsidRDefault="000B1FF7" w:rsidP="003B1A31">
            <w:pPr>
              <w:spacing w:after="0"/>
              <w:jc w:val="center"/>
              <w:rPr>
                <w:b/>
                <w:bCs/>
                <w:sz w:val="20"/>
              </w:rPr>
            </w:pPr>
            <w:r w:rsidRPr="0043797B">
              <w:rPr>
                <w:b/>
                <w:bCs/>
                <w:sz w:val="20"/>
              </w:rPr>
              <w:t>Average NTG  Based on Values Generally Used by Utilities for Programs from 2002-2007</w:t>
            </w:r>
          </w:p>
        </w:tc>
        <w:tc>
          <w:tcPr>
            <w:tcW w:w="2542" w:type="dxa"/>
            <w:tcBorders>
              <w:top w:val="single" w:sz="12" w:space="0" w:color="auto"/>
              <w:bottom w:val="single" w:sz="12" w:space="0" w:color="auto"/>
            </w:tcBorders>
            <w:shd w:val="pct20" w:color="auto" w:fill="FFFFFF"/>
            <w:vAlign w:val="bottom"/>
          </w:tcPr>
          <w:p w:rsidR="000B1FF7" w:rsidRPr="0043797B" w:rsidRDefault="000B1FF7" w:rsidP="003B1A31">
            <w:pPr>
              <w:spacing w:after="0"/>
              <w:jc w:val="center"/>
              <w:rPr>
                <w:b/>
                <w:bCs/>
                <w:sz w:val="20"/>
              </w:rPr>
            </w:pPr>
            <w:r w:rsidRPr="0043797B">
              <w:rPr>
                <w:b/>
                <w:bCs/>
                <w:sz w:val="20"/>
              </w:rPr>
              <w:t>Average DEER NTG  Based on the Recommended NTG Values for 2004-05</w:t>
            </w:r>
          </w:p>
        </w:tc>
      </w:tr>
      <w:tr w:rsidR="000B1FF7" w:rsidRPr="0043797B" w:rsidTr="003B1A31">
        <w:tc>
          <w:tcPr>
            <w:tcW w:w="3355" w:type="dxa"/>
            <w:tcBorders>
              <w:top w:val="single" w:sz="12" w:space="0" w:color="auto"/>
            </w:tcBorders>
          </w:tcPr>
          <w:p w:rsidR="000B1FF7" w:rsidRPr="0043797B" w:rsidRDefault="000B1FF7" w:rsidP="003B1A31">
            <w:pPr>
              <w:spacing w:after="0"/>
              <w:rPr>
                <w:i/>
                <w:sz w:val="20"/>
              </w:rPr>
            </w:pPr>
            <w:r w:rsidRPr="0043797B">
              <w:rPr>
                <w:i/>
                <w:sz w:val="20"/>
              </w:rPr>
              <w:t>Residential Measures</w:t>
            </w:r>
          </w:p>
        </w:tc>
        <w:tc>
          <w:tcPr>
            <w:tcW w:w="3103" w:type="dxa"/>
            <w:tcBorders>
              <w:top w:val="single" w:sz="12" w:space="0" w:color="auto"/>
            </w:tcBorders>
          </w:tcPr>
          <w:p w:rsidR="000B1FF7" w:rsidRPr="0043797B" w:rsidRDefault="000B1FF7" w:rsidP="003B1A31">
            <w:pPr>
              <w:spacing w:after="0"/>
              <w:jc w:val="center"/>
              <w:rPr>
                <w:sz w:val="20"/>
              </w:rPr>
            </w:pPr>
          </w:p>
        </w:tc>
        <w:tc>
          <w:tcPr>
            <w:tcW w:w="2542" w:type="dxa"/>
            <w:tcBorders>
              <w:top w:val="single" w:sz="12" w:space="0" w:color="auto"/>
            </w:tcBorders>
          </w:tcPr>
          <w:p w:rsidR="000B1FF7" w:rsidRPr="0043797B" w:rsidRDefault="000B1FF7" w:rsidP="003B1A31">
            <w:pPr>
              <w:spacing w:after="0"/>
              <w:jc w:val="center"/>
              <w:rPr>
                <w:sz w:val="20"/>
              </w:rPr>
            </w:pPr>
          </w:p>
        </w:tc>
      </w:tr>
      <w:tr w:rsidR="000B1FF7" w:rsidRPr="0043797B" w:rsidTr="003B1A31">
        <w:tc>
          <w:tcPr>
            <w:tcW w:w="3355" w:type="dxa"/>
          </w:tcPr>
          <w:p w:rsidR="000B1FF7" w:rsidRPr="0043797B" w:rsidRDefault="000B1FF7" w:rsidP="003B1A31">
            <w:pPr>
              <w:spacing w:after="0"/>
              <w:ind w:left="180"/>
              <w:rPr>
                <w:sz w:val="20"/>
              </w:rPr>
            </w:pPr>
            <w:r w:rsidRPr="0043797B">
              <w:rPr>
                <w:sz w:val="20"/>
              </w:rPr>
              <w:t>Unweighted Average NTFR</w:t>
            </w:r>
          </w:p>
        </w:tc>
        <w:tc>
          <w:tcPr>
            <w:tcW w:w="3103" w:type="dxa"/>
          </w:tcPr>
          <w:p w:rsidR="000B1FF7" w:rsidRPr="0043797B" w:rsidRDefault="000B1FF7" w:rsidP="003B1A31">
            <w:pPr>
              <w:spacing w:after="0"/>
              <w:jc w:val="center"/>
              <w:rPr>
                <w:sz w:val="20"/>
              </w:rPr>
            </w:pPr>
            <w:r w:rsidRPr="0043797B">
              <w:rPr>
                <w:sz w:val="20"/>
              </w:rPr>
              <w:t>0.78</w:t>
            </w:r>
          </w:p>
        </w:tc>
        <w:tc>
          <w:tcPr>
            <w:tcW w:w="2542" w:type="dxa"/>
          </w:tcPr>
          <w:p w:rsidR="000B1FF7" w:rsidRPr="0043797B" w:rsidRDefault="000B1FF7" w:rsidP="003B1A31">
            <w:pPr>
              <w:spacing w:after="0"/>
              <w:jc w:val="center"/>
              <w:rPr>
                <w:sz w:val="20"/>
              </w:rPr>
            </w:pPr>
            <w:r w:rsidRPr="0043797B">
              <w:rPr>
                <w:sz w:val="20"/>
              </w:rPr>
              <w:t>0.73</w:t>
            </w:r>
          </w:p>
        </w:tc>
      </w:tr>
      <w:tr w:rsidR="000B1FF7" w:rsidRPr="0043797B" w:rsidTr="003B1A31">
        <w:tc>
          <w:tcPr>
            <w:tcW w:w="3355" w:type="dxa"/>
          </w:tcPr>
          <w:p w:rsidR="000B1FF7" w:rsidRPr="0043797B" w:rsidRDefault="000B1FF7" w:rsidP="003B1A31">
            <w:pPr>
              <w:spacing w:after="0"/>
              <w:ind w:left="180"/>
              <w:rPr>
                <w:sz w:val="20"/>
              </w:rPr>
            </w:pPr>
            <w:r w:rsidRPr="0043797B">
              <w:rPr>
                <w:sz w:val="20"/>
              </w:rPr>
              <w:t>Median NTFR</w:t>
            </w:r>
          </w:p>
        </w:tc>
        <w:tc>
          <w:tcPr>
            <w:tcW w:w="3103" w:type="dxa"/>
          </w:tcPr>
          <w:p w:rsidR="000B1FF7" w:rsidRPr="0043797B" w:rsidRDefault="000B1FF7" w:rsidP="003B1A31">
            <w:pPr>
              <w:spacing w:after="0"/>
              <w:jc w:val="center"/>
              <w:rPr>
                <w:sz w:val="20"/>
              </w:rPr>
            </w:pPr>
            <w:r w:rsidRPr="0043797B">
              <w:rPr>
                <w:sz w:val="20"/>
              </w:rPr>
              <w:t>0.80</w:t>
            </w:r>
          </w:p>
        </w:tc>
        <w:tc>
          <w:tcPr>
            <w:tcW w:w="2542" w:type="dxa"/>
          </w:tcPr>
          <w:p w:rsidR="000B1FF7" w:rsidRPr="0043797B" w:rsidRDefault="000B1FF7" w:rsidP="003B1A31">
            <w:pPr>
              <w:spacing w:after="0"/>
              <w:jc w:val="center"/>
              <w:rPr>
                <w:sz w:val="20"/>
              </w:rPr>
            </w:pPr>
            <w:r w:rsidRPr="0043797B">
              <w:rPr>
                <w:sz w:val="20"/>
              </w:rPr>
              <w:t>0.75</w:t>
            </w:r>
          </w:p>
        </w:tc>
      </w:tr>
      <w:tr w:rsidR="000B1FF7" w:rsidRPr="0043797B" w:rsidTr="003B1A31">
        <w:tc>
          <w:tcPr>
            <w:tcW w:w="3355" w:type="dxa"/>
          </w:tcPr>
          <w:p w:rsidR="000B1FF7" w:rsidRPr="0043797B" w:rsidRDefault="000B1FF7" w:rsidP="003B1A31">
            <w:pPr>
              <w:spacing w:after="0"/>
              <w:ind w:left="180"/>
              <w:rPr>
                <w:sz w:val="20"/>
              </w:rPr>
            </w:pPr>
            <w:r w:rsidRPr="0043797B">
              <w:rPr>
                <w:sz w:val="20"/>
              </w:rPr>
              <w:t>Number of cases</w:t>
            </w:r>
          </w:p>
        </w:tc>
        <w:tc>
          <w:tcPr>
            <w:tcW w:w="3103" w:type="dxa"/>
          </w:tcPr>
          <w:p w:rsidR="000B1FF7" w:rsidRPr="0043797B" w:rsidRDefault="000B1FF7" w:rsidP="003B1A31">
            <w:pPr>
              <w:spacing w:after="0"/>
              <w:jc w:val="center"/>
              <w:rPr>
                <w:sz w:val="20"/>
              </w:rPr>
            </w:pPr>
            <w:r w:rsidRPr="0043797B">
              <w:rPr>
                <w:sz w:val="20"/>
              </w:rPr>
              <w:t>N=41</w:t>
            </w:r>
          </w:p>
        </w:tc>
        <w:tc>
          <w:tcPr>
            <w:tcW w:w="2542" w:type="dxa"/>
          </w:tcPr>
          <w:p w:rsidR="000B1FF7" w:rsidRPr="0043797B" w:rsidRDefault="000B1FF7" w:rsidP="003B1A31">
            <w:pPr>
              <w:spacing w:after="0"/>
              <w:jc w:val="center"/>
              <w:rPr>
                <w:sz w:val="20"/>
              </w:rPr>
            </w:pPr>
            <w:r w:rsidRPr="0043797B">
              <w:rPr>
                <w:sz w:val="20"/>
              </w:rPr>
              <w:t>N=41</w:t>
            </w:r>
          </w:p>
        </w:tc>
      </w:tr>
      <w:tr w:rsidR="000B1FF7" w:rsidRPr="0043797B" w:rsidTr="003B1A31">
        <w:tc>
          <w:tcPr>
            <w:tcW w:w="3355" w:type="dxa"/>
          </w:tcPr>
          <w:p w:rsidR="000B1FF7" w:rsidRPr="0043797B" w:rsidRDefault="000B1FF7" w:rsidP="003B1A31">
            <w:pPr>
              <w:spacing w:after="0"/>
              <w:rPr>
                <w:i/>
                <w:sz w:val="20"/>
              </w:rPr>
            </w:pPr>
            <w:r w:rsidRPr="0043797B">
              <w:rPr>
                <w:i/>
                <w:sz w:val="20"/>
              </w:rPr>
              <w:t>Nonresidential Measures</w:t>
            </w:r>
          </w:p>
        </w:tc>
        <w:tc>
          <w:tcPr>
            <w:tcW w:w="3103" w:type="dxa"/>
          </w:tcPr>
          <w:p w:rsidR="000B1FF7" w:rsidRPr="0043797B" w:rsidRDefault="000B1FF7" w:rsidP="003B1A31">
            <w:pPr>
              <w:spacing w:after="0"/>
              <w:jc w:val="center"/>
              <w:rPr>
                <w:sz w:val="20"/>
              </w:rPr>
            </w:pPr>
          </w:p>
        </w:tc>
        <w:tc>
          <w:tcPr>
            <w:tcW w:w="2542" w:type="dxa"/>
          </w:tcPr>
          <w:p w:rsidR="000B1FF7" w:rsidRPr="0043797B" w:rsidRDefault="000B1FF7" w:rsidP="003B1A31">
            <w:pPr>
              <w:spacing w:after="0"/>
              <w:jc w:val="center"/>
              <w:rPr>
                <w:sz w:val="20"/>
              </w:rPr>
            </w:pPr>
          </w:p>
        </w:tc>
      </w:tr>
      <w:tr w:rsidR="000B1FF7" w:rsidRPr="0043797B" w:rsidTr="003B1A31">
        <w:tc>
          <w:tcPr>
            <w:tcW w:w="3355" w:type="dxa"/>
          </w:tcPr>
          <w:p w:rsidR="000B1FF7" w:rsidRPr="0043797B" w:rsidRDefault="000B1FF7" w:rsidP="003B1A31">
            <w:pPr>
              <w:spacing w:after="0"/>
              <w:ind w:left="180"/>
              <w:rPr>
                <w:sz w:val="20"/>
              </w:rPr>
            </w:pPr>
            <w:r w:rsidRPr="0043797B">
              <w:rPr>
                <w:sz w:val="20"/>
              </w:rPr>
              <w:t>Unweighted Average NTFR</w:t>
            </w:r>
          </w:p>
        </w:tc>
        <w:tc>
          <w:tcPr>
            <w:tcW w:w="3103" w:type="dxa"/>
          </w:tcPr>
          <w:p w:rsidR="000B1FF7" w:rsidRPr="0043797B" w:rsidRDefault="000B1FF7" w:rsidP="003B1A31">
            <w:pPr>
              <w:spacing w:after="0"/>
              <w:jc w:val="center"/>
              <w:rPr>
                <w:sz w:val="20"/>
              </w:rPr>
            </w:pPr>
            <w:r w:rsidRPr="0043797B">
              <w:rPr>
                <w:sz w:val="20"/>
              </w:rPr>
              <w:t>0.82</w:t>
            </w:r>
          </w:p>
        </w:tc>
        <w:tc>
          <w:tcPr>
            <w:tcW w:w="2542" w:type="dxa"/>
          </w:tcPr>
          <w:p w:rsidR="000B1FF7" w:rsidRPr="0043797B" w:rsidRDefault="000B1FF7" w:rsidP="003B1A31">
            <w:pPr>
              <w:spacing w:after="0"/>
              <w:jc w:val="center"/>
              <w:rPr>
                <w:sz w:val="20"/>
              </w:rPr>
            </w:pPr>
            <w:r w:rsidRPr="0043797B">
              <w:rPr>
                <w:sz w:val="20"/>
              </w:rPr>
              <w:t>0.69</w:t>
            </w:r>
          </w:p>
        </w:tc>
      </w:tr>
      <w:tr w:rsidR="000B1FF7" w:rsidRPr="0043797B" w:rsidTr="003B1A31">
        <w:tc>
          <w:tcPr>
            <w:tcW w:w="3355" w:type="dxa"/>
          </w:tcPr>
          <w:p w:rsidR="000B1FF7" w:rsidRPr="0043797B" w:rsidRDefault="000B1FF7" w:rsidP="003B1A31">
            <w:pPr>
              <w:spacing w:after="0"/>
              <w:ind w:left="180"/>
              <w:rPr>
                <w:sz w:val="20"/>
              </w:rPr>
            </w:pPr>
            <w:r w:rsidRPr="0043797B">
              <w:rPr>
                <w:sz w:val="20"/>
              </w:rPr>
              <w:t>Median NTFR</w:t>
            </w:r>
          </w:p>
        </w:tc>
        <w:tc>
          <w:tcPr>
            <w:tcW w:w="3103" w:type="dxa"/>
          </w:tcPr>
          <w:p w:rsidR="000B1FF7" w:rsidRPr="0043797B" w:rsidRDefault="000B1FF7" w:rsidP="003B1A31">
            <w:pPr>
              <w:spacing w:after="0"/>
              <w:jc w:val="center"/>
              <w:rPr>
                <w:sz w:val="20"/>
              </w:rPr>
            </w:pPr>
            <w:r w:rsidRPr="0043797B">
              <w:rPr>
                <w:sz w:val="20"/>
              </w:rPr>
              <w:t>0.80</w:t>
            </w:r>
          </w:p>
        </w:tc>
        <w:tc>
          <w:tcPr>
            <w:tcW w:w="2542" w:type="dxa"/>
          </w:tcPr>
          <w:p w:rsidR="000B1FF7" w:rsidRPr="0043797B" w:rsidRDefault="000B1FF7" w:rsidP="003B1A31">
            <w:pPr>
              <w:spacing w:after="0"/>
              <w:jc w:val="center"/>
              <w:rPr>
                <w:sz w:val="20"/>
              </w:rPr>
            </w:pPr>
            <w:r w:rsidRPr="0043797B">
              <w:rPr>
                <w:sz w:val="20"/>
              </w:rPr>
              <w:t>0.70</w:t>
            </w:r>
          </w:p>
        </w:tc>
      </w:tr>
      <w:tr w:rsidR="000B1FF7" w:rsidRPr="0043797B" w:rsidTr="003B1A31">
        <w:tc>
          <w:tcPr>
            <w:tcW w:w="3355" w:type="dxa"/>
            <w:tcBorders>
              <w:bottom w:val="single" w:sz="12" w:space="0" w:color="auto"/>
            </w:tcBorders>
          </w:tcPr>
          <w:p w:rsidR="000B1FF7" w:rsidRPr="0043797B" w:rsidRDefault="000B1FF7" w:rsidP="003B1A31">
            <w:pPr>
              <w:spacing w:after="0"/>
              <w:ind w:left="180"/>
              <w:rPr>
                <w:sz w:val="20"/>
              </w:rPr>
            </w:pPr>
            <w:r w:rsidRPr="0043797B">
              <w:rPr>
                <w:sz w:val="20"/>
              </w:rPr>
              <w:t>Number of cases</w:t>
            </w:r>
          </w:p>
        </w:tc>
        <w:tc>
          <w:tcPr>
            <w:tcW w:w="3103" w:type="dxa"/>
            <w:tcBorders>
              <w:bottom w:val="single" w:sz="12" w:space="0" w:color="auto"/>
            </w:tcBorders>
          </w:tcPr>
          <w:p w:rsidR="000B1FF7" w:rsidRPr="0043797B" w:rsidRDefault="000B1FF7" w:rsidP="003B1A31">
            <w:pPr>
              <w:spacing w:after="0"/>
              <w:jc w:val="center"/>
              <w:rPr>
                <w:sz w:val="20"/>
              </w:rPr>
            </w:pPr>
            <w:r w:rsidRPr="0043797B">
              <w:rPr>
                <w:sz w:val="20"/>
              </w:rPr>
              <w:t>N=50</w:t>
            </w:r>
          </w:p>
        </w:tc>
        <w:tc>
          <w:tcPr>
            <w:tcW w:w="2542" w:type="dxa"/>
            <w:tcBorders>
              <w:bottom w:val="single" w:sz="12" w:space="0" w:color="auto"/>
            </w:tcBorders>
          </w:tcPr>
          <w:p w:rsidR="000B1FF7" w:rsidRPr="0043797B" w:rsidRDefault="000B1FF7" w:rsidP="003B1A31">
            <w:pPr>
              <w:spacing w:after="0"/>
              <w:jc w:val="center"/>
              <w:rPr>
                <w:sz w:val="20"/>
              </w:rPr>
            </w:pPr>
            <w:r w:rsidRPr="0043797B">
              <w:rPr>
                <w:sz w:val="20"/>
              </w:rPr>
              <w:t>N=50</w:t>
            </w:r>
          </w:p>
        </w:tc>
      </w:tr>
    </w:tbl>
    <w:p w:rsidR="000B1FF7" w:rsidRPr="00626457" w:rsidRDefault="000B1FF7" w:rsidP="003B1A31">
      <w:pPr>
        <w:pStyle w:val="tablefootnote"/>
      </w:pPr>
      <w:r>
        <w:tab/>
        <w:t>w</w:t>
      </w:r>
      <w:r w:rsidRPr="00626457">
        <w:t xml:space="preserve">here N is the number of discrete NTFRs recommended by the DEER Team for each measure/delivery strategy in the DEER NTG tables. </w:t>
      </w:r>
    </w:p>
    <w:p w:rsidR="000B1FF7" w:rsidRDefault="000B1FF7" w:rsidP="007D6A05">
      <w:pPr>
        <w:pStyle w:val="Heading4"/>
        <w:numPr>
          <w:ilvl w:val="3"/>
          <w:numId w:val="46"/>
        </w:numPr>
      </w:pPr>
    </w:p>
    <w:p w:rsidR="000B1FF7" w:rsidRDefault="000B1FF7" w:rsidP="007D6A05">
      <w:pPr>
        <w:pStyle w:val="Heading4"/>
        <w:numPr>
          <w:ilvl w:val="3"/>
          <w:numId w:val="46"/>
        </w:numPr>
      </w:pPr>
      <w:r>
        <w:t>Savings Weighted Average NTGR from the 2006-08 Evaluation Studies</w:t>
      </w:r>
    </w:p>
    <w:p w:rsidR="000B1FF7" w:rsidRDefault="000B1FF7" w:rsidP="003B1A31">
      <w:r>
        <w:t xml:space="preserve">Itron used the NTGR results from the 2006 Evaluation to develop an energy savings weighted average NTGR statewide and by sector.  These average NTGR represent the expected NTGR value one might expect if a measure that has not been part of a recent evaluation was conducted. </w:t>
      </w:r>
      <w:r w:rsidR="00757FDA">
        <w:fldChar w:fldCharType="begin"/>
      </w:r>
      <w:r>
        <w:instrText xml:space="preserve"> REF _Ref308131014 \h </w:instrText>
      </w:r>
      <w:r w:rsidR="00757FDA">
        <w:fldChar w:fldCharType="separate"/>
      </w:r>
      <w:r>
        <w:t xml:space="preserve">Table </w:t>
      </w:r>
      <w:r>
        <w:rPr>
          <w:noProof/>
        </w:rPr>
        <w:t>15</w:t>
      </w:r>
      <w:r>
        <w:noBreakHyphen/>
      </w:r>
      <w:r>
        <w:rPr>
          <w:noProof/>
        </w:rPr>
        <w:t>2</w:t>
      </w:r>
      <w:r w:rsidR="00757FDA">
        <w:fldChar w:fldCharType="end"/>
      </w:r>
      <w:r>
        <w:t xml:space="preserve"> shows the average NTGR results at the statewide, utility level and sector level.</w:t>
      </w:r>
    </w:p>
    <w:p w:rsidR="000B1FF7" w:rsidRDefault="000B1FF7">
      <w:pPr>
        <w:spacing w:after="130"/>
        <w:ind w:left="720" w:hanging="432"/>
      </w:pPr>
      <w:r>
        <w:br w:type="page"/>
      </w:r>
    </w:p>
    <w:p w:rsidR="000B1FF7" w:rsidRDefault="000B1FF7" w:rsidP="001845E5">
      <w:pPr>
        <w:pStyle w:val="Caption"/>
      </w:pPr>
      <w:bookmarkStart w:id="1" w:name="_Ref308131014"/>
      <w:r>
        <w:lastRenderedPageBreak/>
        <w:t xml:space="preserve">Table </w:t>
      </w:r>
      <w:fldSimple w:instr=" STYLEREF 1 \s ">
        <w:r>
          <w:rPr>
            <w:noProof/>
          </w:rPr>
          <w:t>15</w:t>
        </w:r>
      </w:fldSimple>
      <w:r>
        <w:noBreakHyphen/>
      </w:r>
      <w:fldSimple w:instr=" SEQ Table \* ARABIC \s 1 ">
        <w:r>
          <w:rPr>
            <w:noProof/>
          </w:rPr>
          <w:t>2</w:t>
        </w:r>
      </w:fldSimple>
      <w:bookmarkEnd w:id="1"/>
      <w:r>
        <w:t>:  Weighted Average NTGR Across All Evaluated Programs in 2006-08</w:t>
      </w:r>
    </w:p>
    <w:tbl>
      <w:tblPr>
        <w:tblW w:w="659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3985"/>
        <w:gridCol w:w="2610"/>
      </w:tblGrid>
      <w:tr w:rsidR="000B1FF7" w:rsidTr="00444CD9">
        <w:tc>
          <w:tcPr>
            <w:tcW w:w="3985" w:type="dxa"/>
            <w:tcBorders>
              <w:top w:val="single" w:sz="12" w:space="0" w:color="auto"/>
              <w:bottom w:val="single" w:sz="12" w:space="0" w:color="auto"/>
            </w:tcBorders>
            <w:shd w:val="pct20" w:color="auto" w:fill="auto"/>
            <w:vAlign w:val="bottom"/>
          </w:tcPr>
          <w:p w:rsidR="000B1FF7" w:rsidRPr="00444CD9" w:rsidRDefault="000B1FF7" w:rsidP="00444CD9">
            <w:pPr>
              <w:spacing w:after="0" w:line="240" w:lineRule="auto"/>
              <w:jc w:val="center"/>
              <w:rPr>
                <w:b/>
              </w:rPr>
            </w:pPr>
            <w:r w:rsidRPr="00444CD9">
              <w:rPr>
                <w:b/>
              </w:rPr>
              <w:t>NTGR Aggregation Level</w:t>
            </w:r>
          </w:p>
        </w:tc>
        <w:tc>
          <w:tcPr>
            <w:tcW w:w="2610" w:type="dxa"/>
            <w:tcBorders>
              <w:top w:val="single" w:sz="12" w:space="0" w:color="auto"/>
              <w:bottom w:val="single" w:sz="12" w:space="0" w:color="auto"/>
            </w:tcBorders>
            <w:shd w:val="pct20" w:color="auto" w:fill="auto"/>
            <w:vAlign w:val="bottom"/>
          </w:tcPr>
          <w:p w:rsidR="000B1FF7" w:rsidRPr="00444CD9" w:rsidRDefault="000B1FF7" w:rsidP="00444CD9">
            <w:pPr>
              <w:spacing w:after="0" w:line="240" w:lineRule="auto"/>
              <w:jc w:val="center"/>
              <w:rPr>
                <w:b/>
              </w:rPr>
            </w:pPr>
            <w:r w:rsidRPr="00444CD9">
              <w:rPr>
                <w:b/>
              </w:rPr>
              <w:t>Savings Weighted NTGR</w:t>
            </w:r>
          </w:p>
        </w:tc>
      </w:tr>
      <w:tr w:rsidR="000B1FF7" w:rsidTr="00444CD9">
        <w:tc>
          <w:tcPr>
            <w:tcW w:w="3985" w:type="dxa"/>
            <w:vAlign w:val="bottom"/>
          </w:tcPr>
          <w:p w:rsidR="000B1FF7" w:rsidRDefault="000B1FF7" w:rsidP="00444CD9">
            <w:pPr>
              <w:spacing w:after="0" w:line="240" w:lineRule="auto"/>
              <w:jc w:val="center"/>
            </w:pPr>
            <w:r>
              <w:t>Statewide across all programs</w:t>
            </w:r>
          </w:p>
        </w:tc>
        <w:tc>
          <w:tcPr>
            <w:tcW w:w="2610" w:type="dxa"/>
            <w:vAlign w:val="bottom"/>
          </w:tcPr>
          <w:p w:rsidR="000B1FF7" w:rsidRDefault="000B1FF7" w:rsidP="00444CD9">
            <w:pPr>
              <w:spacing w:after="0" w:line="240" w:lineRule="auto"/>
              <w:jc w:val="center"/>
            </w:pPr>
            <w:r>
              <w:t>0.58</w:t>
            </w:r>
          </w:p>
        </w:tc>
      </w:tr>
      <w:tr w:rsidR="000B1FF7" w:rsidTr="00444CD9">
        <w:tc>
          <w:tcPr>
            <w:tcW w:w="3985" w:type="dxa"/>
            <w:vAlign w:val="bottom"/>
          </w:tcPr>
          <w:p w:rsidR="000B1FF7" w:rsidRDefault="000B1FF7" w:rsidP="00444CD9">
            <w:pPr>
              <w:spacing w:after="0" w:line="240" w:lineRule="auto"/>
              <w:jc w:val="center"/>
            </w:pPr>
            <w:r>
              <w:t>Residential Sector Programs</w:t>
            </w:r>
          </w:p>
        </w:tc>
        <w:tc>
          <w:tcPr>
            <w:tcW w:w="2610" w:type="dxa"/>
            <w:vAlign w:val="bottom"/>
          </w:tcPr>
          <w:p w:rsidR="000B1FF7" w:rsidRDefault="000B1FF7" w:rsidP="00444CD9">
            <w:pPr>
              <w:spacing w:after="0" w:line="240" w:lineRule="auto"/>
              <w:jc w:val="center"/>
            </w:pPr>
            <w:r>
              <w:t>0.56</w:t>
            </w:r>
          </w:p>
        </w:tc>
      </w:tr>
      <w:tr w:rsidR="000B1FF7" w:rsidTr="00444CD9">
        <w:tc>
          <w:tcPr>
            <w:tcW w:w="3985" w:type="dxa"/>
            <w:vAlign w:val="bottom"/>
          </w:tcPr>
          <w:p w:rsidR="000B1FF7" w:rsidRDefault="000B1FF7" w:rsidP="00444CD9">
            <w:pPr>
              <w:spacing w:after="0" w:line="240" w:lineRule="auto"/>
              <w:jc w:val="center"/>
            </w:pPr>
            <w:r>
              <w:t>Commercial Sector Programs</w:t>
            </w:r>
          </w:p>
        </w:tc>
        <w:tc>
          <w:tcPr>
            <w:tcW w:w="2610" w:type="dxa"/>
            <w:vAlign w:val="bottom"/>
          </w:tcPr>
          <w:p w:rsidR="000B1FF7" w:rsidRDefault="000B1FF7" w:rsidP="00444CD9">
            <w:pPr>
              <w:spacing w:after="0" w:line="240" w:lineRule="auto"/>
              <w:jc w:val="center"/>
            </w:pPr>
            <w:r>
              <w:t>0.61</w:t>
            </w:r>
          </w:p>
        </w:tc>
      </w:tr>
      <w:tr w:rsidR="000B1FF7" w:rsidTr="00444CD9">
        <w:tc>
          <w:tcPr>
            <w:tcW w:w="3985" w:type="dxa"/>
            <w:vAlign w:val="bottom"/>
          </w:tcPr>
          <w:p w:rsidR="000B1FF7" w:rsidRDefault="000B1FF7" w:rsidP="00444CD9">
            <w:pPr>
              <w:spacing w:after="0" w:line="240" w:lineRule="auto"/>
              <w:jc w:val="center"/>
            </w:pPr>
            <w:r>
              <w:t>Industrial Programs</w:t>
            </w:r>
          </w:p>
        </w:tc>
        <w:tc>
          <w:tcPr>
            <w:tcW w:w="2610" w:type="dxa"/>
            <w:vAlign w:val="bottom"/>
          </w:tcPr>
          <w:p w:rsidR="000B1FF7" w:rsidRDefault="000B1FF7" w:rsidP="00444CD9">
            <w:pPr>
              <w:spacing w:after="0" w:line="240" w:lineRule="auto"/>
              <w:jc w:val="center"/>
            </w:pPr>
            <w:r>
              <w:t>0.59</w:t>
            </w:r>
          </w:p>
        </w:tc>
      </w:tr>
      <w:tr w:rsidR="000B1FF7" w:rsidTr="00444CD9">
        <w:tc>
          <w:tcPr>
            <w:tcW w:w="3985" w:type="dxa"/>
            <w:tcBorders>
              <w:bottom w:val="single" w:sz="12" w:space="0" w:color="auto"/>
            </w:tcBorders>
            <w:vAlign w:val="bottom"/>
          </w:tcPr>
          <w:p w:rsidR="000B1FF7" w:rsidRDefault="000B1FF7" w:rsidP="00444CD9">
            <w:pPr>
              <w:spacing w:after="0" w:line="240" w:lineRule="auto"/>
              <w:jc w:val="center"/>
            </w:pPr>
            <w:r>
              <w:t>Agricultural Programs</w:t>
            </w:r>
          </w:p>
        </w:tc>
        <w:tc>
          <w:tcPr>
            <w:tcW w:w="2610" w:type="dxa"/>
            <w:tcBorders>
              <w:bottom w:val="single" w:sz="12" w:space="0" w:color="auto"/>
            </w:tcBorders>
            <w:vAlign w:val="bottom"/>
          </w:tcPr>
          <w:p w:rsidR="000B1FF7" w:rsidRDefault="000B1FF7" w:rsidP="00444CD9">
            <w:pPr>
              <w:spacing w:after="0" w:line="240" w:lineRule="auto"/>
              <w:jc w:val="center"/>
            </w:pPr>
            <w:r>
              <w:t>0.61</w:t>
            </w:r>
          </w:p>
        </w:tc>
      </w:tr>
    </w:tbl>
    <w:p w:rsidR="000B1FF7" w:rsidRDefault="000B1FF7" w:rsidP="00BD1BE7">
      <w:r>
        <w:br/>
        <w:t xml:space="preserve">The table shows there is remarkably little variation in savings weighted NTGRs across sectors with the statewide savings weighted average of 0.58. The DEER team developed two default NTGR options based on these figures; one based on the statewide average of 0.58 across all programs and another proposing different default values at the sector level.  Ultimately we decided it was better to specify default NTGR’s at the sector level and round up to the nearest five percent due to the significant uncertainties that surround these aggregate estimates.  </w:t>
      </w:r>
      <w:r w:rsidR="00757FDA">
        <w:fldChar w:fldCharType="begin"/>
      </w:r>
      <w:r>
        <w:instrText xml:space="preserve"> REF _Ref308131133 \h </w:instrText>
      </w:r>
      <w:r w:rsidR="00757FDA">
        <w:fldChar w:fldCharType="separate"/>
      </w:r>
      <w:r w:rsidR="005C6967">
        <w:t xml:space="preserve">Table </w:t>
      </w:r>
      <w:r w:rsidR="005C6967">
        <w:rPr>
          <w:noProof/>
        </w:rPr>
        <w:t>15</w:t>
      </w:r>
      <w:r w:rsidR="005C6967">
        <w:noBreakHyphen/>
      </w:r>
      <w:r w:rsidR="005C6967">
        <w:rPr>
          <w:noProof/>
        </w:rPr>
        <w:t>3</w:t>
      </w:r>
      <w:r w:rsidR="00757FDA">
        <w:fldChar w:fldCharType="end"/>
      </w:r>
      <w:r>
        <w:t xml:space="preserve"> provides the recommended default values for measures that have been promoted by programs for two years or more.  </w:t>
      </w:r>
    </w:p>
    <w:p w:rsidR="000B1FF7" w:rsidRDefault="000B1FF7" w:rsidP="00545A68">
      <w:pPr>
        <w:pStyle w:val="Caption"/>
      </w:pPr>
      <w:bookmarkStart w:id="2" w:name="_Ref308131133"/>
      <w:r>
        <w:t xml:space="preserve">Table </w:t>
      </w:r>
      <w:fldSimple w:instr=" STYLEREF 1 \s ">
        <w:r>
          <w:rPr>
            <w:noProof/>
          </w:rPr>
          <w:t>15</w:t>
        </w:r>
      </w:fldSimple>
      <w:r>
        <w:noBreakHyphen/>
      </w:r>
      <w:fldSimple w:instr=" SEQ Table \* ARABIC \s 1 ">
        <w:r>
          <w:rPr>
            <w:noProof/>
          </w:rPr>
          <w:t>3</w:t>
        </w:r>
      </w:fldSimple>
      <w:bookmarkEnd w:id="2"/>
      <w:r>
        <w:t xml:space="preserve">: Proposed Net to Gross Ratio Defaults for Measures </w:t>
      </w:r>
    </w:p>
    <w:tbl>
      <w:tblPr>
        <w:tblW w:w="94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A0"/>
      </w:tblPr>
      <w:tblGrid>
        <w:gridCol w:w="5695"/>
        <w:gridCol w:w="1530"/>
        <w:gridCol w:w="2250"/>
      </w:tblGrid>
      <w:tr w:rsidR="000B1FF7" w:rsidTr="00444CD9">
        <w:tc>
          <w:tcPr>
            <w:tcW w:w="5695" w:type="dxa"/>
            <w:tcBorders>
              <w:top w:val="single" w:sz="12" w:space="0" w:color="auto"/>
              <w:bottom w:val="single" w:sz="12" w:space="0" w:color="auto"/>
            </w:tcBorders>
            <w:shd w:val="pct20" w:color="auto" w:fill="auto"/>
            <w:vAlign w:val="bottom"/>
          </w:tcPr>
          <w:p w:rsidR="000B1FF7" w:rsidRPr="00444CD9" w:rsidRDefault="000B1FF7" w:rsidP="00444CD9">
            <w:pPr>
              <w:spacing w:after="0" w:line="240" w:lineRule="auto"/>
              <w:jc w:val="center"/>
              <w:rPr>
                <w:b/>
              </w:rPr>
            </w:pPr>
            <w:r w:rsidRPr="00444CD9">
              <w:rPr>
                <w:b/>
              </w:rPr>
              <w:t>Measure Type</w:t>
            </w:r>
          </w:p>
        </w:tc>
        <w:tc>
          <w:tcPr>
            <w:tcW w:w="1530" w:type="dxa"/>
            <w:tcBorders>
              <w:top w:val="single" w:sz="12" w:space="0" w:color="auto"/>
              <w:bottom w:val="single" w:sz="12" w:space="0" w:color="auto"/>
            </w:tcBorders>
            <w:shd w:val="pct20" w:color="auto" w:fill="auto"/>
            <w:vAlign w:val="bottom"/>
          </w:tcPr>
          <w:p w:rsidR="000B1FF7" w:rsidRPr="00444CD9" w:rsidRDefault="000B1FF7" w:rsidP="00444CD9">
            <w:pPr>
              <w:spacing w:after="0" w:line="240" w:lineRule="auto"/>
              <w:jc w:val="center"/>
              <w:rPr>
                <w:b/>
              </w:rPr>
            </w:pPr>
            <w:r w:rsidRPr="00444CD9">
              <w:rPr>
                <w:b/>
              </w:rPr>
              <w:t>Residential Sector</w:t>
            </w:r>
          </w:p>
        </w:tc>
        <w:tc>
          <w:tcPr>
            <w:tcW w:w="2250" w:type="dxa"/>
            <w:tcBorders>
              <w:top w:val="single" w:sz="12" w:space="0" w:color="auto"/>
              <w:bottom w:val="single" w:sz="12" w:space="0" w:color="auto"/>
            </w:tcBorders>
            <w:shd w:val="pct20" w:color="auto" w:fill="auto"/>
            <w:vAlign w:val="bottom"/>
          </w:tcPr>
          <w:p w:rsidR="000B1FF7" w:rsidRPr="00444CD9" w:rsidRDefault="000B1FF7" w:rsidP="00444CD9">
            <w:pPr>
              <w:spacing w:after="0" w:line="240" w:lineRule="auto"/>
              <w:jc w:val="center"/>
              <w:rPr>
                <w:b/>
              </w:rPr>
            </w:pPr>
            <w:r w:rsidRPr="00444CD9">
              <w:rPr>
                <w:b/>
              </w:rPr>
              <w:t>Commercial, Industrial and Agricultural Sector</w:t>
            </w:r>
          </w:p>
        </w:tc>
      </w:tr>
      <w:tr w:rsidR="000B1FF7" w:rsidTr="005C6967">
        <w:trPr>
          <w:trHeight w:val="663"/>
        </w:trPr>
        <w:tc>
          <w:tcPr>
            <w:tcW w:w="5695" w:type="dxa"/>
            <w:vAlign w:val="bottom"/>
          </w:tcPr>
          <w:p w:rsidR="000B1FF7" w:rsidRDefault="000B1FF7" w:rsidP="005C6967">
            <w:pPr>
              <w:spacing w:after="0" w:line="240" w:lineRule="auto"/>
              <w:jc w:val="left"/>
            </w:pPr>
            <w:r>
              <w:t>Energy Efficiency Measures targeted at Hard to Reach  Market Segments via Direct Install Delivery Methods</w:t>
            </w:r>
          </w:p>
        </w:tc>
        <w:tc>
          <w:tcPr>
            <w:tcW w:w="1530" w:type="dxa"/>
            <w:vAlign w:val="bottom"/>
          </w:tcPr>
          <w:p w:rsidR="000B1FF7" w:rsidRDefault="000B1FF7" w:rsidP="00444CD9">
            <w:pPr>
              <w:spacing w:after="0" w:line="240" w:lineRule="auto"/>
              <w:jc w:val="center"/>
            </w:pPr>
            <w:r>
              <w:t>0.85</w:t>
            </w:r>
          </w:p>
        </w:tc>
        <w:tc>
          <w:tcPr>
            <w:tcW w:w="2250" w:type="dxa"/>
            <w:vAlign w:val="bottom"/>
          </w:tcPr>
          <w:p w:rsidR="000B1FF7" w:rsidRDefault="000B1FF7" w:rsidP="00444CD9">
            <w:pPr>
              <w:spacing w:after="0" w:line="240" w:lineRule="auto"/>
              <w:jc w:val="center"/>
            </w:pPr>
            <w:r>
              <w:t>0.85</w:t>
            </w:r>
          </w:p>
        </w:tc>
      </w:tr>
      <w:tr w:rsidR="000B1FF7" w:rsidTr="005C6967">
        <w:trPr>
          <w:trHeight w:val="368"/>
        </w:trPr>
        <w:tc>
          <w:tcPr>
            <w:tcW w:w="5695" w:type="dxa"/>
            <w:vAlign w:val="bottom"/>
          </w:tcPr>
          <w:p w:rsidR="000B1FF7" w:rsidRDefault="000B1FF7" w:rsidP="005C6967">
            <w:pPr>
              <w:spacing w:after="0" w:line="240" w:lineRule="auto"/>
              <w:jc w:val="left"/>
            </w:pPr>
            <w:r>
              <w:t>New Measures promoted by programs for 2 years or less</w:t>
            </w:r>
          </w:p>
        </w:tc>
        <w:tc>
          <w:tcPr>
            <w:tcW w:w="1530" w:type="dxa"/>
            <w:vAlign w:val="bottom"/>
          </w:tcPr>
          <w:p w:rsidR="000B1FF7" w:rsidRDefault="000B1FF7" w:rsidP="00444CD9">
            <w:pPr>
              <w:spacing w:after="0" w:line="240" w:lineRule="auto"/>
              <w:jc w:val="center"/>
            </w:pPr>
            <w:r>
              <w:t>0.70</w:t>
            </w:r>
          </w:p>
        </w:tc>
        <w:tc>
          <w:tcPr>
            <w:tcW w:w="2250" w:type="dxa"/>
            <w:vAlign w:val="bottom"/>
          </w:tcPr>
          <w:p w:rsidR="000B1FF7" w:rsidRDefault="000B1FF7" w:rsidP="00444CD9">
            <w:pPr>
              <w:spacing w:after="0" w:line="240" w:lineRule="auto"/>
              <w:jc w:val="center"/>
            </w:pPr>
            <w:r>
              <w:t>0.70</w:t>
            </w:r>
          </w:p>
        </w:tc>
      </w:tr>
      <w:tr w:rsidR="000B1FF7" w:rsidTr="005C6967">
        <w:trPr>
          <w:trHeight w:val="629"/>
        </w:trPr>
        <w:tc>
          <w:tcPr>
            <w:tcW w:w="5695" w:type="dxa"/>
            <w:tcBorders>
              <w:bottom w:val="single" w:sz="12" w:space="0" w:color="auto"/>
            </w:tcBorders>
            <w:vAlign w:val="bottom"/>
          </w:tcPr>
          <w:p w:rsidR="000B1FF7" w:rsidRDefault="000B1FF7" w:rsidP="005C6967">
            <w:pPr>
              <w:spacing w:after="0" w:line="240" w:lineRule="auto"/>
              <w:jc w:val="left"/>
            </w:pPr>
            <w:r>
              <w:t xml:space="preserve">Energy Efficiency Measures promoted by programs for more than two years </w:t>
            </w:r>
          </w:p>
        </w:tc>
        <w:tc>
          <w:tcPr>
            <w:tcW w:w="1530" w:type="dxa"/>
            <w:tcBorders>
              <w:bottom w:val="single" w:sz="12" w:space="0" w:color="auto"/>
            </w:tcBorders>
            <w:vAlign w:val="bottom"/>
          </w:tcPr>
          <w:p w:rsidR="000B1FF7" w:rsidRDefault="000B1FF7" w:rsidP="00444CD9">
            <w:pPr>
              <w:spacing w:after="0" w:line="240" w:lineRule="auto"/>
              <w:jc w:val="center"/>
            </w:pPr>
            <w:r>
              <w:t>0.55</w:t>
            </w:r>
          </w:p>
        </w:tc>
        <w:tc>
          <w:tcPr>
            <w:tcW w:w="2250" w:type="dxa"/>
            <w:tcBorders>
              <w:bottom w:val="single" w:sz="12" w:space="0" w:color="auto"/>
            </w:tcBorders>
            <w:vAlign w:val="bottom"/>
          </w:tcPr>
          <w:p w:rsidR="000B1FF7" w:rsidRDefault="000B1FF7" w:rsidP="00444CD9">
            <w:pPr>
              <w:spacing w:after="0" w:line="240" w:lineRule="auto"/>
              <w:jc w:val="center"/>
            </w:pPr>
            <w:r>
              <w:t>0.60</w:t>
            </w:r>
          </w:p>
        </w:tc>
      </w:tr>
    </w:tbl>
    <w:p w:rsidR="000B1FF7" w:rsidRDefault="000B1FF7" w:rsidP="00690C9F">
      <w:pPr>
        <w:pStyle w:val="Caption"/>
      </w:pPr>
    </w:p>
    <w:p w:rsidR="000B1FF7" w:rsidRPr="00991231" w:rsidRDefault="000B1FF7" w:rsidP="00991231"/>
    <w:sectPr w:rsidR="000B1FF7" w:rsidRPr="00991231" w:rsidSect="008E3D20">
      <w:headerReference w:type="default" r:id="rId8"/>
      <w:footerReference w:type="default" r:id="rId9"/>
      <w:footerReference w:type="first" r:id="rId10"/>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FF7" w:rsidRDefault="000B1FF7" w:rsidP="008E3D20">
      <w:pPr>
        <w:spacing w:after="0" w:line="240" w:lineRule="auto"/>
      </w:pPr>
      <w:r>
        <w:separator/>
      </w:r>
    </w:p>
  </w:endnote>
  <w:endnote w:type="continuationSeparator" w:id="0">
    <w:p w:rsidR="000B1FF7" w:rsidRDefault="000B1FF7" w:rsidP="008E3D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F7" w:rsidRDefault="000B1FF7" w:rsidP="008E3D20">
    <w:pPr>
      <w:pStyle w:val="Footer"/>
    </w:pPr>
    <w:r>
      <w:t>Itron, Inc.</w:t>
    </w:r>
    <w:r>
      <w:tab/>
    </w:r>
    <w:fldSimple w:instr=" PAGE   \* MERGEFORMAT ">
      <w:r w:rsidR="005C6967">
        <w:rPr>
          <w:noProof/>
        </w:rPr>
        <w:t>15-3</w:t>
      </w:r>
    </w:fldSimple>
    <w:r>
      <w:tab/>
      <w:t>Default NTGRs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F7" w:rsidRDefault="000B1FF7" w:rsidP="008E3D20">
    <w:pPr>
      <w:pStyle w:val="Footer"/>
    </w:pPr>
    <w:r>
      <w:t>Itron, Inc.</w:t>
    </w:r>
    <w:r>
      <w:tab/>
    </w:r>
    <w:fldSimple w:instr=" PAGE   \* MERGEFORMAT ">
      <w:r w:rsidR="005C6967">
        <w:rPr>
          <w:noProof/>
        </w:rPr>
        <w:t>15-1</w:t>
      </w:r>
    </w:fldSimple>
    <w:r>
      <w:tab/>
      <w:t>Default NTGRs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FF7" w:rsidRDefault="000B1FF7" w:rsidP="008E3D20">
      <w:pPr>
        <w:spacing w:after="0" w:line="240" w:lineRule="auto"/>
      </w:pPr>
      <w:r>
        <w:separator/>
      </w:r>
    </w:p>
  </w:footnote>
  <w:footnote w:type="continuationSeparator" w:id="0">
    <w:p w:rsidR="000B1FF7" w:rsidRDefault="000B1FF7" w:rsidP="008E3D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F7" w:rsidRPr="00AD2254" w:rsidRDefault="000B1FF7" w:rsidP="00AD2254">
    <w:pPr>
      <w:pStyle w:val="Header"/>
      <w:tabs>
        <w:tab w:val="center" w:pos="4680"/>
        <w:tab w:val="left" w:pos="5751"/>
      </w:tabs>
    </w:pPr>
    <w:r>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lvlText w:val="─"/>
      <w:lvlJc w:val="left"/>
      <w:pPr>
        <w:ind w:left="1800" w:hanging="360"/>
      </w:pPr>
      <w:rPr>
        <w:rFonts w:ascii="Times New Roman" w:hAnsi="Times New Roman" w:hint="default"/>
        <w:sz w:val="24"/>
      </w:rPr>
    </w:lvl>
  </w:abstractNum>
  <w:abstractNum w:abstractNumId="1">
    <w:nsid w:val="FFFFFF89"/>
    <w:multiLevelType w:val="singleLevel"/>
    <w:tmpl w:val="C55E3E54"/>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9DA42B0C"/>
    <w:lvl w:ilvl="0">
      <w:start w:val="15"/>
      <w:numFmt w:val="decimal"/>
      <w:pStyle w:val="Heading1"/>
      <w:suff w:val="nothing"/>
      <w:lvlText w:val="%1"/>
      <w:lvlJc w:val="left"/>
      <w:rPr>
        <w:rFonts w:ascii="Arial" w:hAnsi="Arial" w:cs="Times New Roman" w:hint="default"/>
        <w:b/>
        <w:i/>
        <w:sz w:val="72"/>
      </w:rPr>
    </w:lvl>
    <w:lvl w:ilvl="1">
      <w:start w:val="1"/>
      <w:numFmt w:val="decimal"/>
      <w:pStyle w:val="Heading2"/>
      <w:suff w:val="nothing"/>
      <w:lvlText w:val="%1.%2  "/>
      <w:lvlJc w:val="left"/>
      <w:rPr>
        <w:rFonts w:ascii="Arial" w:hAnsi="Arial" w:cs="Times New Roman" w:hint="default"/>
        <w:b/>
        <w:i w:val="0"/>
        <w:sz w:val="28"/>
      </w:rPr>
    </w:lvl>
    <w:lvl w:ilvl="2">
      <w:start w:val="1"/>
      <w:numFmt w:val="decimal"/>
      <w:pStyle w:val="Heading3"/>
      <w:suff w:val="nothing"/>
      <w:lvlText w:val="%1.%2.%3  "/>
      <w:lvlJc w:val="left"/>
      <w:rPr>
        <w:rFonts w:cs="Times New Roman" w:hint="default"/>
      </w:rPr>
    </w:lvl>
    <w:lvl w:ilvl="3">
      <w:start w:val="1"/>
      <w:numFmt w:val="none"/>
      <w:pStyle w:val="Heading4"/>
      <w:suff w:val="nothing"/>
      <w:lvlText w:val=""/>
      <w:lvlJc w:val="left"/>
      <w:rPr>
        <w:rFonts w:cs="Times New Roman" w:hint="default"/>
      </w:rPr>
    </w:lvl>
    <w:lvl w:ilvl="4">
      <w:start w:val="1"/>
      <w:numFmt w:val="none"/>
      <w:pStyle w:val="Heading5"/>
      <w:suff w:val="nothing"/>
      <w:lvlText w:val=""/>
      <w:lvlJc w:val="left"/>
      <w:rPr>
        <w:rFonts w:cs="Times New Roman" w:hint="default"/>
      </w:rPr>
    </w:lvl>
    <w:lvl w:ilvl="5">
      <w:start w:val="1"/>
      <w:numFmt w:val="none"/>
      <w:pStyle w:val="Heading6"/>
      <w:suff w:val="nothing"/>
      <w:lvlText w:val=""/>
      <w:lvlJc w:val="left"/>
      <w:rPr>
        <w:rFonts w:cs="Times New Roman" w:hint="default"/>
      </w:rPr>
    </w:lvl>
    <w:lvl w:ilvl="6">
      <w:start w:val="1"/>
      <w:numFmt w:val="none"/>
      <w:pStyle w:val="Heading7"/>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3">
    <w:nsid w:val="080A0EEF"/>
    <w:multiLevelType w:val="multilevel"/>
    <w:tmpl w:val="C8782C1C"/>
    <w:lvl w:ilvl="0">
      <w:start w:val="1"/>
      <w:numFmt w:val="upperLetter"/>
      <w:suff w:val="nothing"/>
      <w:lvlText w:val="Appendix %1"/>
      <w:lvlJc w:val="left"/>
      <w:rPr>
        <w:rFonts w:ascii="Arial" w:hAnsi="Arial" w:cs="Times New Roman" w:hint="default"/>
        <w:b/>
        <w:i/>
        <w:sz w:val="60"/>
      </w:rPr>
    </w:lvl>
    <w:lvl w:ilvl="1">
      <w:start w:val="1"/>
      <w:numFmt w:val="decimal"/>
      <w:suff w:val="nothing"/>
      <w:lvlText w:val="%1.%2  "/>
      <w:lvlJc w:val="left"/>
      <w:rPr>
        <w:rFonts w:ascii="Arial" w:hAnsi="Arial" w:cs="Times New Roman" w:hint="default"/>
        <w:b/>
        <w:i w:val="0"/>
        <w:sz w:val="28"/>
        <w:szCs w:val="28"/>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
    <w:nsid w:val="15A03DEF"/>
    <w:multiLevelType w:val="hybridMultilevel"/>
    <w:tmpl w:val="9676D36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hint="default"/>
        <w:b/>
        <w:sz w:val="24"/>
      </w:rPr>
    </w:lvl>
    <w:lvl w:ilvl="2">
      <w:start w:val="1"/>
      <w:numFmt w:val="bullet"/>
      <w:lvlText w:val="-"/>
      <w:lvlJc w:val="left"/>
      <w:pPr>
        <w:ind w:left="1584" w:hanging="432"/>
      </w:pPr>
      <w:rPr>
        <w:rFonts w:ascii="Times New Roman" w:hAnsi="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6">
    <w:nsid w:val="2C817978"/>
    <w:multiLevelType w:val="multilevel"/>
    <w:tmpl w:val="67F0C0C4"/>
    <w:numStyleLink w:val="CnAListBullets"/>
  </w:abstractNum>
  <w:abstractNum w:abstractNumId="7">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hint="default"/>
        <w:b/>
        <w:sz w:val="24"/>
      </w:rPr>
    </w:lvl>
    <w:lvl w:ilvl="2">
      <w:start w:val="1"/>
      <w:numFmt w:val="bullet"/>
      <w:lvlText w:val="-"/>
      <w:lvlJc w:val="left"/>
      <w:pPr>
        <w:ind w:left="2520" w:hanging="360"/>
      </w:pPr>
      <w:rPr>
        <w:rFonts w:ascii="Times New Roman" w:hAnsi="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1"/>
  </w:num>
  <w:num w:numId="2">
    <w:abstractNumId w:val="0"/>
  </w:num>
  <w:num w:numId="3">
    <w:abstractNumId w:val="1"/>
  </w:num>
  <w:num w:numId="4">
    <w:abstractNumId w:val="0"/>
  </w:num>
  <w:num w:numId="5">
    <w:abstractNumId w:val="2"/>
  </w:num>
  <w:num w:numId="6">
    <w:abstractNumId w:val="2"/>
  </w:num>
  <w:num w:numId="7">
    <w:abstractNumId w:val="2"/>
  </w:num>
  <w:num w:numId="8">
    <w:abstractNumId w:val="2"/>
  </w:num>
  <w:num w:numId="9">
    <w:abstractNumId w:val="3"/>
  </w:num>
  <w:num w:numId="10">
    <w:abstractNumId w:val="2"/>
  </w:num>
  <w:num w:numId="11">
    <w:abstractNumId w:val="2"/>
  </w:num>
  <w:num w:numId="12">
    <w:abstractNumId w:val="0"/>
  </w:num>
  <w:num w:numId="13">
    <w:abstractNumId w:val="0"/>
  </w:num>
  <w:num w:numId="14">
    <w:abstractNumId w:val="7"/>
  </w:num>
  <w:num w:numId="15">
    <w:abstractNumId w:val="5"/>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5"/>
  </w:num>
  <w:num w:numId="26">
    <w:abstractNumId w:val="5"/>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0"/>
  </w:num>
  <w:num w:numId="40">
    <w:abstractNumId w:val="5"/>
  </w:num>
  <w:num w:numId="41">
    <w:abstractNumId w:val="2"/>
  </w:num>
  <w:num w:numId="42">
    <w:abstractNumId w:val="2"/>
  </w:num>
  <w:num w:numId="43">
    <w:abstractNumId w:val="2"/>
  </w:num>
  <w:num w:numId="44">
    <w:abstractNumId w:val="2"/>
  </w:num>
  <w:num w:numId="45">
    <w:abstractNumId w:val="2"/>
  </w:num>
  <w:num w:numId="46">
    <w:abstractNumId w:val="2"/>
  </w:num>
  <w:num w:numId="47">
    <w:abstractNumId w:val="4"/>
  </w:num>
  <w:num w:numId="48">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8E3D20"/>
    <w:rsid w:val="00017D18"/>
    <w:rsid w:val="00022F17"/>
    <w:rsid w:val="0007312F"/>
    <w:rsid w:val="00075645"/>
    <w:rsid w:val="00077287"/>
    <w:rsid w:val="00096103"/>
    <w:rsid w:val="000A3BD4"/>
    <w:rsid w:val="000B1FF7"/>
    <w:rsid w:val="000B2BEB"/>
    <w:rsid w:val="000B731D"/>
    <w:rsid w:val="000C6631"/>
    <w:rsid w:val="000D688E"/>
    <w:rsid w:val="000E539F"/>
    <w:rsid w:val="0011319A"/>
    <w:rsid w:val="00123438"/>
    <w:rsid w:val="00150886"/>
    <w:rsid w:val="00157EA9"/>
    <w:rsid w:val="00166A00"/>
    <w:rsid w:val="001700C4"/>
    <w:rsid w:val="001712B1"/>
    <w:rsid w:val="001845E5"/>
    <w:rsid w:val="001B177F"/>
    <w:rsid w:val="001B56AA"/>
    <w:rsid w:val="001C005E"/>
    <w:rsid w:val="001C2E0A"/>
    <w:rsid w:val="001E0716"/>
    <w:rsid w:val="001E32AE"/>
    <w:rsid w:val="001E7BE2"/>
    <w:rsid w:val="00205160"/>
    <w:rsid w:val="00205948"/>
    <w:rsid w:val="00206EDB"/>
    <w:rsid w:val="00230BF7"/>
    <w:rsid w:val="00231EB1"/>
    <w:rsid w:val="00236B34"/>
    <w:rsid w:val="00246847"/>
    <w:rsid w:val="00247593"/>
    <w:rsid w:val="00256DC2"/>
    <w:rsid w:val="00260180"/>
    <w:rsid w:val="002663FA"/>
    <w:rsid w:val="00275841"/>
    <w:rsid w:val="00292F27"/>
    <w:rsid w:val="002B7BCD"/>
    <w:rsid w:val="002C7AFB"/>
    <w:rsid w:val="00311ED5"/>
    <w:rsid w:val="00315C37"/>
    <w:rsid w:val="00317ED5"/>
    <w:rsid w:val="003240BC"/>
    <w:rsid w:val="003255E0"/>
    <w:rsid w:val="00346291"/>
    <w:rsid w:val="003A3041"/>
    <w:rsid w:val="003B15C1"/>
    <w:rsid w:val="003B1A31"/>
    <w:rsid w:val="003B2EC3"/>
    <w:rsid w:val="003E1694"/>
    <w:rsid w:val="003E6290"/>
    <w:rsid w:val="003F505C"/>
    <w:rsid w:val="003F678D"/>
    <w:rsid w:val="00400DF8"/>
    <w:rsid w:val="00415F0C"/>
    <w:rsid w:val="00423113"/>
    <w:rsid w:val="00427454"/>
    <w:rsid w:val="0043551E"/>
    <w:rsid w:val="0043797B"/>
    <w:rsid w:val="004409B2"/>
    <w:rsid w:val="00441770"/>
    <w:rsid w:val="00444CD9"/>
    <w:rsid w:val="00455856"/>
    <w:rsid w:val="00467A6A"/>
    <w:rsid w:val="0047130C"/>
    <w:rsid w:val="004819BB"/>
    <w:rsid w:val="00485477"/>
    <w:rsid w:val="004B0FCC"/>
    <w:rsid w:val="004B46F8"/>
    <w:rsid w:val="004C7495"/>
    <w:rsid w:val="004E0AD6"/>
    <w:rsid w:val="00521A5F"/>
    <w:rsid w:val="00521A9C"/>
    <w:rsid w:val="00545A68"/>
    <w:rsid w:val="005528D8"/>
    <w:rsid w:val="00552C8F"/>
    <w:rsid w:val="0055720C"/>
    <w:rsid w:val="00557A79"/>
    <w:rsid w:val="00565425"/>
    <w:rsid w:val="00565D8A"/>
    <w:rsid w:val="00573DEC"/>
    <w:rsid w:val="00580BAD"/>
    <w:rsid w:val="0059308D"/>
    <w:rsid w:val="005939CC"/>
    <w:rsid w:val="005C0C85"/>
    <w:rsid w:val="005C6967"/>
    <w:rsid w:val="005D5666"/>
    <w:rsid w:val="005D596C"/>
    <w:rsid w:val="005F3293"/>
    <w:rsid w:val="00603EEC"/>
    <w:rsid w:val="006232E8"/>
    <w:rsid w:val="00626457"/>
    <w:rsid w:val="00646BD5"/>
    <w:rsid w:val="00657787"/>
    <w:rsid w:val="00664039"/>
    <w:rsid w:val="00665C07"/>
    <w:rsid w:val="006755A1"/>
    <w:rsid w:val="00682A57"/>
    <w:rsid w:val="00690C9F"/>
    <w:rsid w:val="006A6AAC"/>
    <w:rsid w:val="006B7229"/>
    <w:rsid w:val="006C0097"/>
    <w:rsid w:val="006C080F"/>
    <w:rsid w:val="00700B29"/>
    <w:rsid w:val="00706638"/>
    <w:rsid w:val="007113FC"/>
    <w:rsid w:val="007141BD"/>
    <w:rsid w:val="00715736"/>
    <w:rsid w:val="00721CBB"/>
    <w:rsid w:val="007316AA"/>
    <w:rsid w:val="00754488"/>
    <w:rsid w:val="00754D3E"/>
    <w:rsid w:val="00757FDA"/>
    <w:rsid w:val="00763661"/>
    <w:rsid w:val="00775E7E"/>
    <w:rsid w:val="00777A7C"/>
    <w:rsid w:val="00783EDA"/>
    <w:rsid w:val="00790A7E"/>
    <w:rsid w:val="0079680C"/>
    <w:rsid w:val="007B1B87"/>
    <w:rsid w:val="007B4132"/>
    <w:rsid w:val="007C6F54"/>
    <w:rsid w:val="007D5D84"/>
    <w:rsid w:val="007D6A05"/>
    <w:rsid w:val="0081057C"/>
    <w:rsid w:val="008111FE"/>
    <w:rsid w:val="00811304"/>
    <w:rsid w:val="00817DEE"/>
    <w:rsid w:val="00826D05"/>
    <w:rsid w:val="008472D8"/>
    <w:rsid w:val="0085185D"/>
    <w:rsid w:val="00853285"/>
    <w:rsid w:val="00857BBF"/>
    <w:rsid w:val="008646A2"/>
    <w:rsid w:val="00874650"/>
    <w:rsid w:val="00875025"/>
    <w:rsid w:val="00877628"/>
    <w:rsid w:val="00886546"/>
    <w:rsid w:val="008873D0"/>
    <w:rsid w:val="0089278A"/>
    <w:rsid w:val="0089429D"/>
    <w:rsid w:val="0089541E"/>
    <w:rsid w:val="008A271C"/>
    <w:rsid w:val="008C3DA3"/>
    <w:rsid w:val="008D7823"/>
    <w:rsid w:val="008E2E63"/>
    <w:rsid w:val="008E3D20"/>
    <w:rsid w:val="008E45F8"/>
    <w:rsid w:val="008F6F18"/>
    <w:rsid w:val="0091065E"/>
    <w:rsid w:val="0093055E"/>
    <w:rsid w:val="009558AE"/>
    <w:rsid w:val="00990F68"/>
    <w:rsid w:val="00991231"/>
    <w:rsid w:val="00995A77"/>
    <w:rsid w:val="009B0D60"/>
    <w:rsid w:val="009C3564"/>
    <w:rsid w:val="009D0319"/>
    <w:rsid w:val="009D290C"/>
    <w:rsid w:val="009F36BC"/>
    <w:rsid w:val="00A0551D"/>
    <w:rsid w:val="00A12B0C"/>
    <w:rsid w:val="00A12C80"/>
    <w:rsid w:val="00A240A6"/>
    <w:rsid w:val="00A31B8F"/>
    <w:rsid w:val="00A50622"/>
    <w:rsid w:val="00A51D77"/>
    <w:rsid w:val="00A715DD"/>
    <w:rsid w:val="00AA75FC"/>
    <w:rsid w:val="00AD2254"/>
    <w:rsid w:val="00AD42FF"/>
    <w:rsid w:val="00AF77F2"/>
    <w:rsid w:val="00B05AD1"/>
    <w:rsid w:val="00B163B4"/>
    <w:rsid w:val="00B21A11"/>
    <w:rsid w:val="00B30FAF"/>
    <w:rsid w:val="00B332C5"/>
    <w:rsid w:val="00B35DD3"/>
    <w:rsid w:val="00B47148"/>
    <w:rsid w:val="00B55843"/>
    <w:rsid w:val="00B66B8D"/>
    <w:rsid w:val="00B821A0"/>
    <w:rsid w:val="00BA106C"/>
    <w:rsid w:val="00BD1BE7"/>
    <w:rsid w:val="00BE68D1"/>
    <w:rsid w:val="00BF357D"/>
    <w:rsid w:val="00BF6708"/>
    <w:rsid w:val="00C030F3"/>
    <w:rsid w:val="00C07173"/>
    <w:rsid w:val="00C40245"/>
    <w:rsid w:val="00C47AFD"/>
    <w:rsid w:val="00C64DAA"/>
    <w:rsid w:val="00C664C3"/>
    <w:rsid w:val="00C772DA"/>
    <w:rsid w:val="00C8408E"/>
    <w:rsid w:val="00C85E22"/>
    <w:rsid w:val="00C87E1B"/>
    <w:rsid w:val="00C90C1B"/>
    <w:rsid w:val="00C96282"/>
    <w:rsid w:val="00CA353D"/>
    <w:rsid w:val="00CA4418"/>
    <w:rsid w:val="00CA4CA6"/>
    <w:rsid w:val="00CA75C7"/>
    <w:rsid w:val="00CC1E01"/>
    <w:rsid w:val="00CD35B0"/>
    <w:rsid w:val="00CD4193"/>
    <w:rsid w:val="00CF4860"/>
    <w:rsid w:val="00CF5081"/>
    <w:rsid w:val="00D21F89"/>
    <w:rsid w:val="00D51169"/>
    <w:rsid w:val="00D5135F"/>
    <w:rsid w:val="00D55F07"/>
    <w:rsid w:val="00D72BF2"/>
    <w:rsid w:val="00D8292E"/>
    <w:rsid w:val="00D833E2"/>
    <w:rsid w:val="00D842FF"/>
    <w:rsid w:val="00DA04B7"/>
    <w:rsid w:val="00DA66D7"/>
    <w:rsid w:val="00DB3C51"/>
    <w:rsid w:val="00DC1564"/>
    <w:rsid w:val="00DC1DD9"/>
    <w:rsid w:val="00DE632E"/>
    <w:rsid w:val="00E251FF"/>
    <w:rsid w:val="00E37D92"/>
    <w:rsid w:val="00E450CF"/>
    <w:rsid w:val="00E5394D"/>
    <w:rsid w:val="00E560B6"/>
    <w:rsid w:val="00E67904"/>
    <w:rsid w:val="00E7572F"/>
    <w:rsid w:val="00E86B02"/>
    <w:rsid w:val="00E86B64"/>
    <w:rsid w:val="00EA6307"/>
    <w:rsid w:val="00ED1F77"/>
    <w:rsid w:val="00ED70B2"/>
    <w:rsid w:val="00F12576"/>
    <w:rsid w:val="00F126C3"/>
    <w:rsid w:val="00F21DB5"/>
    <w:rsid w:val="00F24DFA"/>
    <w:rsid w:val="00F30170"/>
    <w:rsid w:val="00F3759B"/>
    <w:rsid w:val="00F42A2D"/>
    <w:rsid w:val="00F60F5F"/>
    <w:rsid w:val="00F634D6"/>
    <w:rsid w:val="00F70106"/>
    <w:rsid w:val="00F87DBB"/>
    <w:rsid w:val="00F9623A"/>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886"/>
    <w:pPr>
      <w:spacing w:after="280" w:line="320" w:lineRule="atLeast"/>
      <w:jc w:val="both"/>
    </w:pPr>
    <w:rPr>
      <w:rFonts w:ascii="Times New Roman" w:hAnsi="Times New Roman"/>
      <w:sz w:val="24"/>
      <w:szCs w:val="24"/>
    </w:rPr>
  </w:style>
  <w:style w:type="paragraph" w:styleId="Heading1">
    <w:name w:val="heading 1"/>
    <w:basedOn w:val="Normal"/>
    <w:next w:val="Normal"/>
    <w:link w:val="Heading1Char"/>
    <w:uiPriority w:val="99"/>
    <w:qFormat/>
    <w:rsid w:val="00DE632E"/>
    <w:pPr>
      <w:keepNext/>
      <w:numPr>
        <w:numId w:val="42"/>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link w:val="Heading2Char"/>
    <w:uiPriority w:val="99"/>
    <w:qFormat/>
    <w:rsid w:val="00DE632E"/>
    <w:pPr>
      <w:keepNext/>
      <w:numPr>
        <w:ilvl w:val="1"/>
        <w:numId w:val="42"/>
      </w:numPr>
      <w:spacing w:before="480" w:after="180"/>
      <w:jc w:val="left"/>
      <w:outlineLvl w:val="1"/>
    </w:pPr>
    <w:rPr>
      <w:rFonts w:ascii="Arial" w:hAnsi="Arial" w:cs="Arial"/>
      <w:b/>
      <w:bCs/>
      <w:sz w:val="28"/>
      <w:szCs w:val="28"/>
    </w:rPr>
  </w:style>
  <w:style w:type="paragraph" w:styleId="Heading3">
    <w:name w:val="heading 3"/>
    <w:basedOn w:val="Normal"/>
    <w:next w:val="Normal"/>
    <w:link w:val="Heading3Char"/>
    <w:autoRedefine/>
    <w:uiPriority w:val="99"/>
    <w:qFormat/>
    <w:rsid w:val="00DE632E"/>
    <w:pPr>
      <w:keepNext/>
      <w:numPr>
        <w:ilvl w:val="2"/>
        <w:numId w:val="42"/>
      </w:numPr>
      <w:spacing w:after="180" w:line="240" w:lineRule="auto"/>
      <w:jc w:val="left"/>
      <w:outlineLvl w:val="2"/>
    </w:pPr>
    <w:rPr>
      <w:rFonts w:ascii="Arial" w:hAnsi="Arial" w:cs="Arial"/>
      <w:b/>
      <w:bCs/>
      <w:i/>
      <w:iCs/>
    </w:rPr>
  </w:style>
  <w:style w:type="paragraph" w:styleId="Heading4">
    <w:name w:val="heading 4"/>
    <w:basedOn w:val="Normal"/>
    <w:next w:val="Normal"/>
    <w:link w:val="Heading4Char"/>
    <w:uiPriority w:val="99"/>
    <w:qFormat/>
    <w:rsid w:val="00DE632E"/>
    <w:pPr>
      <w:keepNext/>
      <w:keepLines/>
      <w:numPr>
        <w:ilvl w:val="3"/>
        <w:numId w:val="42"/>
      </w:numPr>
      <w:spacing w:after="180"/>
      <w:jc w:val="left"/>
      <w:outlineLvl w:val="3"/>
    </w:pPr>
    <w:rPr>
      <w:b/>
      <w:i/>
      <w:iCs/>
      <w:u w:val="single"/>
    </w:rPr>
  </w:style>
  <w:style w:type="paragraph" w:styleId="Heading5">
    <w:name w:val="heading 5"/>
    <w:basedOn w:val="Normal"/>
    <w:next w:val="Normal"/>
    <w:link w:val="Heading5Char"/>
    <w:uiPriority w:val="99"/>
    <w:qFormat/>
    <w:rsid w:val="00DE632E"/>
    <w:pPr>
      <w:keepNext/>
      <w:keepLines/>
      <w:numPr>
        <w:ilvl w:val="4"/>
        <w:numId w:val="42"/>
      </w:numPr>
      <w:outlineLvl w:val="4"/>
    </w:pPr>
    <w:rPr>
      <w:rFonts w:cs="Arial"/>
      <w:bCs/>
      <w:i/>
      <w:u w:val="single"/>
    </w:rPr>
  </w:style>
  <w:style w:type="paragraph" w:styleId="Heading6">
    <w:name w:val="heading 6"/>
    <w:basedOn w:val="Heading1"/>
    <w:next w:val="Normal"/>
    <w:link w:val="Heading6Char"/>
    <w:uiPriority w:val="99"/>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link w:val="Heading7Char"/>
    <w:uiPriority w:val="99"/>
    <w:qFormat/>
    <w:rsid w:val="00D842FF"/>
    <w:pPr>
      <w:numPr>
        <w:ilvl w:val="6"/>
      </w:numPr>
      <w:tabs>
        <w:tab w:val="left" w:pos="3456"/>
      </w:tabs>
      <w:outlineLvl w:val="6"/>
    </w:pPr>
  </w:style>
  <w:style w:type="paragraph" w:styleId="Heading8">
    <w:name w:val="heading 8"/>
    <w:basedOn w:val="Normal"/>
    <w:next w:val="Normal"/>
    <w:link w:val="Heading8Char"/>
    <w:uiPriority w:val="99"/>
    <w:qFormat/>
    <w:rsid w:val="00DE632E"/>
    <w:pPr>
      <w:numPr>
        <w:ilvl w:val="7"/>
        <w:numId w:val="42"/>
      </w:numPr>
      <w:outlineLvl w:val="7"/>
    </w:pPr>
    <w:rPr>
      <w:rFonts w:ascii="Tms Rmn" w:hAnsi="Tms Rmn"/>
      <w:i/>
      <w:iCs/>
      <w:sz w:val="20"/>
      <w:szCs w:val="20"/>
    </w:rPr>
  </w:style>
  <w:style w:type="paragraph" w:styleId="Heading9">
    <w:name w:val="heading 9"/>
    <w:basedOn w:val="Normal"/>
    <w:next w:val="Normal"/>
    <w:link w:val="Heading9Char"/>
    <w:uiPriority w:val="99"/>
    <w:qFormat/>
    <w:rsid w:val="00DE632E"/>
    <w:pPr>
      <w:numPr>
        <w:ilvl w:val="8"/>
        <w:numId w:val="42"/>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47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01547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01547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1547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01547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015479"/>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015479"/>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015479"/>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015479"/>
    <w:rPr>
      <w:rFonts w:asciiTheme="majorHAnsi" w:eastAsiaTheme="majorEastAsia" w:hAnsiTheme="majorHAnsi" w:cstheme="majorBidi"/>
    </w:rPr>
  </w:style>
  <w:style w:type="paragraph" w:customStyle="1" w:styleId="pJ">
    <w:name w:val="pJ"/>
    <w:next w:val="Normal"/>
    <w:uiPriority w:val="99"/>
    <w:rsid w:val="00D842FF"/>
    <w:pPr>
      <w:spacing w:after="130" w:line="320" w:lineRule="atLeast"/>
      <w:ind w:left="720" w:hanging="432"/>
      <w:jc w:val="both"/>
    </w:pPr>
    <w:rPr>
      <w:rFonts w:ascii="Times New Roman" w:hAnsi="Times New Roman"/>
      <w:sz w:val="24"/>
      <w:szCs w:val="24"/>
    </w:rPr>
  </w:style>
  <w:style w:type="paragraph" w:customStyle="1" w:styleId="pB">
    <w:name w:val="pB"/>
    <w:basedOn w:val="Normal"/>
    <w:uiPriority w:val="99"/>
    <w:rsid w:val="0011319A"/>
    <w:pPr>
      <w:tabs>
        <w:tab w:val="left" w:pos="720"/>
        <w:tab w:val="left" w:pos="1080"/>
      </w:tabs>
      <w:ind w:right="288"/>
    </w:pPr>
  </w:style>
  <w:style w:type="paragraph" w:customStyle="1" w:styleId="pF">
    <w:name w:val="pF"/>
    <w:uiPriority w:val="99"/>
    <w:rsid w:val="0011319A"/>
    <w:pPr>
      <w:spacing w:after="130" w:line="320" w:lineRule="atLeast"/>
      <w:ind w:left="720" w:hanging="432"/>
      <w:jc w:val="both"/>
    </w:pPr>
    <w:rPr>
      <w:rFonts w:ascii="Times New Roman" w:hAnsi="Times New Roman"/>
      <w:sz w:val="24"/>
      <w:szCs w:val="24"/>
    </w:rPr>
  </w:style>
  <w:style w:type="paragraph" w:customStyle="1" w:styleId="pS">
    <w:name w:val="pS"/>
    <w:uiPriority w:val="99"/>
    <w:rsid w:val="00D842FF"/>
    <w:pPr>
      <w:tabs>
        <w:tab w:val="left" w:pos="720"/>
        <w:tab w:val="left" w:pos="1080"/>
      </w:tabs>
      <w:spacing w:after="130" w:line="320" w:lineRule="atLeast"/>
      <w:ind w:left="720" w:right="288" w:hanging="432"/>
      <w:jc w:val="both"/>
    </w:pPr>
    <w:rPr>
      <w:rFonts w:ascii="Times New Roman" w:hAnsi="Times New Roman"/>
      <w:sz w:val="24"/>
      <w:szCs w:val="24"/>
    </w:rPr>
  </w:style>
  <w:style w:type="paragraph" w:customStyle="1" w:styleId="pD">
    <w:name w:val="pD"/>
    <w:basedOn w:val="pF"/>
    <w:uiPriority w:val="99"/>
    <w:rsid w:val="00D842FF"/>
    <w:pPr>
      <w:tabs>
        <w:tab w:val="left" w:pos="1152"/>
      </w:tabs>
      <w:spacing w:before="60" w:line="280" w:lineRule="atLeast"/>
      <w:ind w:left="1152" w:right="288"/>
    </w:pPr>
  </w:style>
  <w:style w:type="paragraph" w:customStyle="1" w:styleId="pE">
    <w:name w:val="pE"/>
    <w:basedOn w:val="pD"/>
    <w:uiPriority w:val="99"/>
    <w:rsid w:val="00D842FF"/>
    <w:pPr>
      <w:tabs>
        <w:tab w:val="clear" w:pos="1152"/>
      </w:tabs>
      <w:spacing w:line="240" w:lineRule="atLeast"/>
      <w:ind w:left="1440" w:hanging="288"/>
    </w:pPr>
  </w:style>
  <w:style w:type="paragraph" w:styleId="Header">
    <w:name w:val="header"/>
    <w:basedOn w:val="pF"/>
    <w:link w:val="HeaderChar"/>
    <w:uiPriority w:val="99"/>
    <w:rsid w:val="009D0319"/>
    <w:pPr>
      <w:pBdr>
        <w:bottom w:val="single" w:sz="12" w:space="1" w:color="auto"/>
      </w:pBdr>
      <w:tabs>
        <w:tab w:val="right" w:pos="9000"/>
      </w:tabs>
      <w:spacing w:after="0"/>
      <w:ind w:left="0" w:firstLine="0"/>
      <w:jc w:val="center"/>
    </w:pPr>
    <w:rPr>
      <w:rFonts w:ascii="Tms Rmn" w:hAnsi="Tms Rmn"/>
      <w:i/>
      <w:iCs/>
    </w:rPr>
  </w:style>
  <w:style w:type="character" w:customStyle="1" w:styleId="HeaderChar">
    <w:name w:val="Header Char"/>
    <w:basedOn w:val="DefaultParagraphFont"/>
    <w:link w:val="Header"/>
    <w:uiPriority w:val="99"/>
    <w:locked/>
    <w:rsid w:val="00AD2254"/>
    <w:rPr>
      <w:rFonts w:cs="Times New Roman"/>
      <w:i/>
      <w:iCs/>
      <w:sz w:val="24"/>
      <w:szCs w:val="24"/>
    </w:rPr>
  </w:style>
  <w:style w:type="paragraph" w:styleId="Footer">
    <w:name w:val="footer"/>
    <w:basedOn w:val="Header"/>
    <w:link w:val="FooterChar"/>
    <w:uiPriority w:val="99"/>
    <w:rsid w:val="0047130C"/>
    <w:pPr>
      <w:pBdr>
        <w:top w:val="single" w:sz="12" w:space="1" w:color="auto"/>
        <w:bottom w:val="none" w:sz="0" w:space="0" w:color="auto"/>
      </w:pBdr>
      <w:tabs>
        <w:tab w:val="clear" w:pos="9000"/>
        <w:tab w:val="center" w:pos="4680"/>
        <w:tab w:val="right" w:pos="9360"/>
      </w:tabs>
      <w:jc w:val="left"/>
    </w:pPr>
  </w:style>
  <w:style w:type="character" w:customStyle="1" w:styleId="FooterChar">
    <w:name w:val="Footer Char"/>
    <w:basedOn w:val="DefaultParagraphFont"/>
    <w:link w:val="Footer"/>
    <w:uiPriority w:val="99"/>
    <w:semiHidden/>
    <w:rsid w:val="00015479"/>
    <w:rPr>
      <w:rFonts w:ascii="Times New Roman" w:hAnsi="Times New Roman"/>
      <w:sz w:val="24"/>
      <w:szCs w:val="24"/>
    </w:rPr>
  </w:style>
  <w:style w:type="character" w:styleId="FootnoteReference">
    <w:name w:val="footnote reference"/>
    <w:basedOn w:val="DefaultParagraphFont"/>
    <w:uiPriority w:val="99"/>
    <w:rsid w:val="00D842FF"/>
    <w:rPr>
      <w:rFonts w:cs="Times New Roman"/>
      <w:position w:val="6"/>
      <w:sz w:val="16"/>
      <w:szCs w:val="16"/>
    </w:rPr>
  </w:style>
  <w:style w:type="paragraph" w:styleId="FootnoteText">
    <w:name w:val="footnote text"/>
    <w:basedOn w:val="Normal"/>
    <w:link w:val="FootnoteTextChar"/>
    <w:autoRedefine/>
    <w:uiPriority w:val="99"/>
    <w:rsid w:val="008646A2"/>
    <w:pPr>
      <w:tabs>
        <w:tab w:val="left" w:pos="288"/>
      </w:tabs>
      <w:spacing w:after="60" w:line="240" w:lineRule="atLeast"/>
      <w:ind w:left="288" w:hanging="288"/>
    </w:pPr>
    <w:rPr>
      <w:rFonts w:ascii="Tms Rmn" w:hAnsi="Tms Rmn"/>
      <w:sz w:val="20"/>
      <w:szCs w:val="20"/>
    </w:rPr>
  </w:style>
  <w:style w:type="character" w:customStyle="1" w:styleId="FootnoteTextChar">
    <w:name w:val="Footnote Text Char"/>
    <w:basedOn w:val="DefaultParagraphFont"/>
    <w:link w:val="FootnoteText"/>
    <w:uiPriority w:val="99"/>
    <w:locked/>
    <w:rsid w:val="008646A2"/>
    <w:rPr>
      <w:rFonts w:ascii="Tms Rmn" w:hAnsi="Tms Rmn" w:cs="Times New Roman"/>
    </w:rPr>
  </w:style>
  <w:style w:type="paragraph" w:styleId="Index1">
    <w:name w:val="index 1"/>
    <w:basedOn w:val="Normal"/>
    <w:next w:val="Normal"/>
    <w:uiPriority w:val="99"/>
    <w:rsid w:val="00D842FF"/>
    <w:rPr>
      <w:rFonts w:ascii="Tms Rmn" w:hAnsi="Tms Rmn"/>
    </w:rPr>
  </w:style>
  <w:style w:type="paragraph" w:styleId="Index2">
    <w:name w:val="index 2"/>
    <w:basedOn w:val="Normal"/>
    <w:next w:val="Normal"/>
    <w:uiPriority w:val="99"/>
    <w:rsid w:val="00D842FF"/>
    <w:pPr>
      <w:ind w:left="360"/>
    </w:pPr>
    <w:rPr>
      <w:rFonts w:ascii="Tms Rmn" w:hAnsi="Tms Rmn"/>
    </w:rPr>
  </w:style>
  <w:style w:type="paragraph" w:styleId="Index3">
    <w:name w:val="index 3"/>
    <w:basedOn w:val="Normal"/>
    <w:next w:val="Normal"/>
    <w:uiPriority w:val="99"/>
    <w:rsid w:val="00D842FF"/>
    <w:rPr>
      <w:rFonts w:ascii="Tms Rmn" w:hAnsi="Tms Rmn"/>
    </w:rPr>
  </w:style>
  <w:style w:type="paragraph" w:styleId="Index4">
    <w:name w:val="index 4"/>
    <w:basedOn w:val="Normal"/>
    <w:next w:val="Normal"/>
    <w:uiPriority w:val="99"/>
    <w:rsid w:val="00D842FF"/>
    <w:rPr>
      <w:rFonts w:ascii="Tms Rmn" w:hAnsi="Tms Rmn"/>
    </w:rPr>
  </w:style>
  <w:style w:type="paragraph" w:styleId="Index5">
    <w:name w:val="index 5"/>
    <w:basedOn w:val="Normal"/>
    <w:next w:val="Normal"/>
    <w:uiPriority w:val="99"/>
    <w:rsid w:val="00D842FF"/>
    <w:pPr>
      <w:ind w:left="1440"/>
    </w:pPr>
    <w:rPr>
      <w:rFonts w:ascii="Tms Rmn" w:hAnsi="Tms Rmn"/>
    </w:rPr>
  </w:style>
  <w:style w:type="paragraph" w:styleId="Index6">
    <w:name w:val="index 6"/>
    <w:basedOn w:val="Normal"/>
    <w:next w:val="Normal"/>
    <w:uiPriority w:val="99"/>
    <w:rsid w:val="00D842FF"/>
    <w:pPr>
      <w:ind w:left="1800"/>
    </w:pPr>
    <w:rPr>
      <w:rFonts w:ascii="Tms Rmn" w:hAnsi="Tms Rmn"/>
    </w:rPr>
  </w:style>
  <w:style w:type="paragraph" w:styleId="Index7">
    <w:name w:val="index 7"/>
    <w:basedOn w:val="Normal"/>
    <w:next w:val="Normal"/>
    <w:uiPriority w:val="99"/>
    <w:rsid w:val="00D842FF"/>
    <w:pPr>
      <w:ind w:left="2160"/>
    </w:pPr>
    <w:rPr>
      <w:rFonts w:ascii="Tms Rmn" w:hAnsi="Tms Rmn"/>
    </w:rPr>
  </w:style>
  <w:style w:type="paragraph" w:styleId="IndexHeading">
    <w:name w:val="index heading"/>
    <w:basedOn w:val="Normal"/>
    <w:next w:val="Index1"/>
    <w:uiPriority w:val="99"/>
    <w:rsid w:val="00D842FF"/>
    <w:rPr>
      <w:rFonts w:ascii="Tms Rmn" w:hAnsi="Tms Rmn"/>
    </w:rPr>
  </w:style>
  <w:style w:type="character" w:styleId="LineNumber">
    <w:name w:val="line number"/>
    <w:basedOn w:val="DefaultParagraphFont"/>
    <w:uiPriority w:val="99"/>
    <w:rsid w:val="00D842FF"/>
    <w:rPr>
      <w:rFonts w:cs="Times New Roman"/>
    </w:rPr>
  </w:style>
  <w:style w:type="paragraph" w:customStyle="1" w:styleId="pA">
    <w:name w:val="pA"/>
    <w:uiPriority w:val="99"/>
    <w:rsid w:val="0011319A"/>
    <w:pPr>
      <w:spacing w:after="130" w:line="130" w:lineRule="exact"/>
      <w:ind w:left="720" w:hanging="432"/>
      <w:jc w:val="both"/>
    </w:pPr>
    <w:rPr>
      <w:rFonts w:ascii="Times New Roman" w:hAnsi="Times New Roman"/>
      <w:sz w:val="24"/>
      <w:szCs w:val="24"/>
    </w:rPr>
  </w:style>
  <w:style w:type="paragraph" w:customStyle="1" w:styleId="pG">
    <w:name w:val="pG"/>
    <w:basedOn w:val="Normal"/>
    <w:uiPriority w:val="99"/>
    <w:rsid w:val="008E2E63"/>
    <w:pPr>
      <w:keepNext/>
      <w:spacing w:after="130"/>
      <w:ind w:left="720" w:hanging="432"/>
    </w:pPr>
    <w:rPr>
      <w:rFonts w:ascii="Arial" w:hAnsi="Arial" w:cs="Arial"/>
      <w:b/>
      <w:bCs/>
    </w:rPr>
  </w:style>
  <w:style w:type="paragraph" w:customStyle="1" w:styleId="pT">
    <w:name w:val="pT"/>
    <w:basedOn w:val="Normal"/>
    <w:uiPriority w:val="99"/>
    <w:rsid w:val="008E2E63"/>
    <w:pPr>
      <w:keepNext/>
      <w:spacing w:after="130"/>
      <w:ind w:left="720" w:hanging="432"/>
    </w:pPr>
    <w:rPr>
      <w:rFonts w:ascii="Arial" w:hAnsi="Arial" w:cs="Arial"/>
      <w:b/>
      <w:bCs/>
    </w:rPr>
  </w:style>
  <w:style w:type="paragraph" w:customStyle="1" w:styleId="pX">
    <w:name w:val="pX"/>
    <w:basedOn w:val="pF"/>
    <w:uiPriority w:val="99"/>
    <w:rsid w:val="00D842FF"/>
    <w:pPr>
      <w:spacing w:line="240" w:lineRule="atLeast"/>
    </w:pPr>
  </w:style>
  <w:style w:type="paragraph" w:customStyle="1" w:styleId="TitlePage">
    <w:name w:val="Title Page"/>
    <w:basedOn w:val="Normal"/>
    <w:uiPriority w:val="99"/>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9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99"/>
    <w:rsid w:val="00E37D92"/>
    <w:pPr>
      <w:spacing w:before="0" w:after="0"/>
      <w:ind w:left="864" w:right="720" w:hanging="432"/>
    </w:pPr>
    <w:rPr>
      <w:b w:val="0"/>
      <w:bCs w:val="0"/>
    </w:rPr>
  </w:style>
  <w:style w:type="paragraph" w:styleId="TOC3">
    <w:name w:val="toc 3"/>
    <w:basedOn w:val="TOC1"/>
    <w:uiPriority w:val="99"/>
    <w:rsid w:val="00E37D92"/>
    <w:pPr>
      <w:spacing w:before="0" w:after="0"/>
      <w:ind w:left="1296" w:right="720" w:hanging="432"/>
    </w:pPr>
    <w:rPr>
      <w:b w:val="0"/>
      <w:bCs w:val="0"/>
      <w:i/>
      <w:iCs/>
      <w:sz w:val="20"/>
      <w:szCs w:val="20"/>
    </w:rPr>
  </w:style>
  <w:style w:type="paragraph" w:styleId="TOC4">
    <w:name w:val="toc 4"/>
    <w:basedOn w:val="TOC1"/>
    <w:uiPriority w:val="99"/>
    <w:rsid w:val="00D842FF"/>
    <w:pPr>
      <w:spacing w:before="0" w:after="0"/>
    </w:pPr>
    <w:rPr>
      <w:rFonts w:cs="Times New Roman"/>
      <w:b w:val="0"/>
      <w:bCs w:val="0"/>
      <w:sz w:val="20"/>
      <w:szCs w:val="20"/>
    </w:rPr>
  </w:style>
  <w:style w:type="paragraph" w:styleId="TOC5">
    <w:name w:val="toc 5"/>
    <w:basedOn w:val="TOC4"/>
    <w:next w:val="Normal"/>
    <w:uiPriority w:val="99"/>
    <w:rsid w:val="00D842FF"/>
  </w:style>
  <w:style w:type="paragraph" w:styleId="EnvelopeAddress">
    <w:name w:val="envelope address"/>
    <w:basedOn w:val="Normal"/>
    <w:uiPriority w:val="99"/>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uiPriority w:val="99"/>
    <w:rsid w:val="00D842FF"/>
    <w:pPr>
      <w:keepNext/>
      <w:spacing w:before="480" w:after="360" w:line="720" w:lineRule="exact"/>
    </w:pPr>
    <w:rPr>
      <w:rFonts w:ascii="Arial" w:hAnsi="Arial" w:cs="Arial"/>
      <w:b/>
      <w:bCs/>
      <w:i/>
      <w:iCs/>
      <w:sz w:val="72"/>
      <w:szCs w:val="72"/>
    </w:rPr>
  </w:style>
  <w:style w:type="paragraph" w:styleId="ListBullet">
    <w:name w:val="List Bullet"/>
    <w:basedOn w:val="Normal"/>
    <w:uiPriority w:val="99"/>
    <w:rsid w:val="00D842FF"/>
    <w:pPr>
      <w:ind w:left="360"/>
    </w:pPr>
  </w:style>
  <w:style w:type="paragraph" w:customStyle="1" w:styleId="pA2">
    <w:name w:val="pA2"/>
    <w:basedOn w:val="pA"/>
    <w:next w:val="pA"/>
    <w:link w:val="pA2Char"/>
    <w:uiPriority w:val="99"/>
    <w:rsid w:val="0011319A"/>
  </w:style>
  <w:style w:type="paragraph" w:styleId="Caption">
    <w:name w:val="caption"/>
    <w:basedOn w:val="Normal"/>
    <w:next w:val="Normal"/>
    <w:autoRedefine/>
    <w:uiPriority w:val="99"/>
    <w:qFormat/>
    <w:rsid w:val="009D0319"/>
    <w:pPr>
      <w:keepNext/>
      <w:keepLines/>
      <w:spacing w:before="120" w:after="120"/>
      <w:jc w:val="left"/>
    </w:pPr>
    <w:rPr>
      <w:rFonts w:ascii="Arial" w:hAnsi="Arial" w:cs="Arial"/>
      <w:b/>
      <w:bCs/>
    </w:rPr>
  </w:style>
  <w:style w:type="paragraph" w:customStyle="1" w:styleId="resumeparagraph">
    <w:name w:val="resume paragraph"/>
    <w:uiPriority w:val="99"/>
    <w:rsid w:val="00D842FF"/>
    <w:pPr>
      <w:spacing w:before="100" w:after="130" w:line="240" w:lineRule="exact"/>
      <w:ind w:left="720" w:hanging="288"/>
      <w:jc w:val="both"/>
    </w:pPr>
    <w:rPr>
      <w:rFonts w:ascii="Times New Roman" w:hAnsi="Times New Roman"/>
      <w:sz w:val="24"/>
      <w:szCs w:val="24"/>
    </w:rPr>
  </w:style>
  <w:style w:type="paragraph" w:customStyle="1" w:styleId="Headline">
    <w:name w:val="Headline"/>
    <w:basedOn w:val="Normal"/>
    <w:uiPriority w:val="99"/>
    <w:rsid w:val="00D842FF"/>
    <w:pPr>
      <w:spacing w:line="240" w:lineRule="auto"/>
    </w:pPr>
    <w:rPr>
      <w:b/>
      <w:bCs/>
      <w:sz w:val="36"/>
      <w:szCs w:val="36"/>
    </w:rPr>
  </w:style>
  <w:style w:type="paragraph" w:customStyle="1" w:styleId="projtitle">
    <w:name w:val="projtitle"/>
    <w:basedOn w:val="Normal"/>
    <w:next w:val="For"/>
    <w:uiPriority w:val="99"/>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uiPriority w:val="99"/>
    <w:rsid w:val="00D842FF"/>
    <w:pPr>
      <w:tabs>
        <w:tab w:val="clear" w:pos="720"/>
        <w:tab w:val="clear" w:pos="1080"/>
        <w:tab w:val="left" w:pos="-1170"/>
      </w:tabs>
      <w:spacing w:after="240"/>
    </w:pPr>
  </w:style>
  <w:style w:type="paragraph" w:customStyle="1" w:styleId="For">
    <w:name w:val="For"/>
    <w:basedOn w:val="Normal"/>
    <w:next w:val="Contact"/>
    <w:uiPriority w:val="99"/>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uiPriority w:val="99"/>
    <w:rsid w:val="00D842FF"/>
    <w:pPr>
      <w:keepNext/>
      <w:keepLines/>
      <w:tabs>
        <w:tab w:val="left" w:pos="720"/>
        <w:tab w:val="left" w:pos="1080"/>
      </w:tabs>
      <w:spacing w:line="280" w:lineRule="exact"/>
      <w:ind w:left="1152" w:right="288"/>
    </w:pPr>
  </w:style>
  <w:style w:type="paragraph" w:customStyle="1" w:styleId="question">
    <w:name w:val="question"/>
    <w:basedOn w:val="pF"/>
    <w:uiPriority w:val="99"/>
    <w:rsid w:val="00D842FF"/>
    <w:pPr>
      <w:ind w:hanging="720"/>
    </w:pPr>
  </w:style>
  <w:style w:type="paragraph" w:styleId="TOC6">
    <w:name w:val="toc 6"/>
    <w:basedOn w:val="Normal"/>
    <w:next w:val="Normal"/>
    <w:uiPriority w:val="99"/>
    <w:rsid w:val="00D842FF"/>
    <w:pPr>
      <w:tabs>
        <w:tab w:val="right" w:leader="dot" w:pos="9000"/>
      </w:tabs>
      <w:spacing w:line="240" w:lineRule="auto"/>
      <w:ind w:left="1200"/>
    </w:pPr>
  </w:style>
  <w:style w:type="paragraph" w:customStyle="1" w:styleId="Variabledefinition">
    <w:name w:val="Variable definition"/>
    <w:basedOn w:val="pD"/>
    <w:uiPriority w:val="99"/>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uiPriority w:val="99"/>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link w:val="BalloonTextChar"/>
    <w:uiPriority w:val="99"/>
    <w:rsid w:val="00D842FF"/>
    <w:rPr>
      <w:rFonts w:ascii="Tahoma" w:hAnsi="Tahoma" w:cs="Tahoma"/>
      <w:sz w:val="16"/>
      <w:szCs w:val="16"/>
    </w:rPr>
  </w:style>
  <w:style w:type="character" w:customStyle="1" w:styleId="BalloonTextChar">
    <w:name w:val="Balloon Text Char"/>
    <w:basedOn w:val="DefaultParagraphFont"/>
    <w:link w:val="BalloonText"/>
    <w:uiPriority w:val="99"/>
    <w:semiHidden/>
    <w:rsid w:val="00015479"/>
    <w:rPr>
      <w:rFonts w:ascii="Times New Roman" w:hAnsi="Times New Roman"/>
      <w:sz w:val="0"/>
      <w:szCs w:val="0"/>
    </w:rPr>
  </w:style>
  <w:style w:type="character" w:styleId="CommentReference">
    <w:name w:val="annotation reference"/>
    <w:basedOn w:val="DefaultParagraphFont"/>
    <w:uiPriority w:val="99"/>
    <w:rsid w:val="00D842FF"/>
    <w:rPr>
      <w:rFonts w:cs="Times New Roman"/>
      <w:sz w:val="16"/>
    </w:rPr>
  </w:style>
  <w:style w:type="paragraph" w:styleId="CommentText">
    <w:name w:val="annotation text"/>
    <w:basedOn w:val="Normal"/>
    <w:link w:val="CommentTextChar"/>
    <w:uiPriority w:val="99"/>
    <w:rsid w:val="00D842FF"/>
    <w:rPr>
      <w:sz w:val="20"/>
      <w:szCs w:val="20"/>
    </w:rPr>
  </w:style>
  <w:style w:type="character" w:customStyle="1" w:styleId="CommentTextChar">
    <w:name w:val="Comment Text Char"/>
    <w:basedOn w:val="DefaultParagraphFont"/>
    <w:link w:val="CommentText"/>
    <w:uiPriority w:val="99"/>
    <w:semiHidden/>
    <w:rsid w:val="00015479"/>
    <w:rPr>
      <w:rFonts w:ascii="Times New Roman" w:hAnsi="Times New Roman"/>
      <w:sz w:val="20"/>
      <w:szCs w:val="20"/>
    </w:rPr>
  </w:style>
  <w:style w:type="paragraph" w:styleId="CommentSubject">
    <w:name w:val="annotation subject"/>
    <w:basedOn w:val="CommentText"/>
    <w:next w:val="CommentText"/>
    <w:link w:val="CommentSubjectChar"/>
    <w:uiPriority w:val="99"/>
    <w:rsid w:val="00D842FF"/>
    <w:rPr>
      <w:b/>
      <w:bCs/>
    </w:rPr>
  </w:style>
  <w:style w:type="character" w:customStyle="1" w:styleId="CommentSubjectChar">
    <w:name w:val="Comment Subject Char"/>
    <w:basedOn w:val="CommentTextChar"/>
    <w:link w:val="CommentSubject"/>
    <w:uiPriority w:val="99"/>
    <w:semiHidden/>
    <w:rsid w:val="00015479"/>
    <w:rPr>
      <w:b/>
      <w:bCs/>
    </w:rPr>
  </w:style>
  <w:style w:type="paragraph" w:styleId="DocumentMap">
    <w:name w:val="Document Map"/>
    <w:basedOn w:val="Normal"/>
    <w:link w:val="DocumentMapChar"/>
    <w:uiPriority w:val="99"/>
    <w:rsid w:val="00D842F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015479"/>
    <w:rPr>
      <w:rFonts w:ascii="Times New Roman" w:hAnsi="Times New Roman"/>
      <w:sz w:val="0"/>
      <w:szCs w:val="0"/>
    </w:rPr>
  </w:style>
  <w:style w:type="character" w:styleId="PageNumber">
    <w:name w:val="page number"/>
    <w:basedOn w:val="DefaultParagraphFont"/>
    <w:uiPriority w:val="99"/>
    <w:rsid w:val="00D842FF"/>
    <w:rPr>
      <w:rFonts w:cs="Times New Roman"/>
    </w:rPr>
  </w:style>
  <w:style w:type="table" w:styleId="TableGrid">
    <w:name w:val="Table Grid"/>
    <w:basedOn w:val="TableNormal"/>
    <w:uiPriority w:val="99"/>
    <w:rsid w:val="00D842F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99"/>
    <w:qFormat/>
    <w:rsid w:val="00E251FF"/>
    <w:pPr>
      <w:spacing w:after="0" w:line="240" w:lineRule="auto"/>
      <w:contextualSpacing/>
      <w:jc w:val="right"/>
    </w:pPr>
    <w:rPr>
      <w:rFonts w:ascii="Arial" w:hAnsi="Arial"/>
      <w:b/>
      <w:color w:val="17365D"/>
      <w:spacing w:val="5"/>
      <w:kern w:val="28"/>
      <w:sz w:val="40"/>
      <w:szCs w:val="52"/>
    </w:rPr>
  </w:style>
  <w:style w:type="character" w:customStyle="1" w:styleId="TitleChar">
    <w:name w:val="Title Char"/>
    <w:basedOn w:val="DefaultParagraphFont"/>
    <w:link w:val="Title"/>
    <w:uiPriority w:val="99"/>
    <w:locked/>
    <w:rsid w:val="00E251FF"/>
    <w:rPr>
      <w:rFonts w:ascii="Arial" w:hAnsi="Arial" w:cs="Times New Roman"/>
      <w:b/>
      <w:color w:val="17365D"/>
      <w:spacing w:val="5"/>
      <w:kern w:val="28"/>
      <w:sz w:val="52"/>
      <w:szCs w:val="52"/>
    </w:rPr>
  </w:style>
  <w:style w:type="character" w:styleId="Hyperlink">
    <w:name w:val="Hyperlink"/>
    <w:basedOn w:val="DefaultParagraphFont"/>
    <w:uiPriority w:val="99"/>
    <w:rsid w:val="00D842FF"/>
    <w:rPr>
      <w:rFonts w:cs="Times New Roman"/>
      <w:color w:val="0000FF"/>
      <w:u w:val="single"/>
    </w:rPr>
  </w:style>
  <w:style w:type="paragraph" w:customStyle="1" w:styleId="CEUSIndent5">
    <w:name w:val="CEUS_Indent5"/>
    <w:basedOn w:val="pE"/>
    <w:uiPriority w:val="99"/>
    <w:rsid w:val="00D842FF"/>
    <w:pPr>
      <w:ind w:left="2070" w:hanging="432"/>
    </w:pPr>
    <w:rPr>
      <w:szCs w:val="20"/>
    </w:rPr>
  </w:style>
  <w:style w:type="paragraph" w:styleId="ListBullet2">
    <w:name w:val="List Bullet 2"/>
    <w:basedOn w:val="Normal"/>
    <w:uiPriority w:val="99"/>
    <w:rsid w:val="00D842FF"/>
    <w:pPr>
      <w:ind w:left="1800" w:hanging="360"/>
      <w:contextualSpacing/>
    </w:pPr>
  </w:style>
  <w:style w:type="paragraph" w:styleId="ListParagraph">
    <w:name w:val="List Paragraph"/>
    <w:basedOn w:val="Normal"/>
    <w:uiPriority w:val="99"/>
    <w:qFormat/>
    <w:rsid w:val="00D842FF"/>
    <w:pPr>
      <w:spacing w:after="80"/>
    </w:pPr>
  </w:style>
  <w:style w:type="paragraph" w:customStyle="1" w:styleId="CoverTitle">
    <w:name w:val="CoverTitle"/>
    <w:basedOn w:val="Normal"/>
    <w:link w:val="CoverTitleChar"/>
    <w:uiPriority w:val="99"/>
    <w:rsid w:val="00D842FF"/>
    <w:pPr>
      <w:spacing w:after="120"/>
      <w:jc w:val="center"/>
    </w:pPr>
    <w:rPr>
      <w:rFonts w:ascii="Arial" w:hAnsi="Arial"/>
      <w:b/>
      <w:sz w:val="40"/>
    </w:rPr>
  </w:style>
  <w:style w:type="character" w:customStyle="1" w:styleId="CoverTitleChar">
    <w:name w:val="CoverTitle Char"/>
    <w:basedOn w:val="DefaultParagraphFont"/>
    <w:link w:val="CoverTitle"/>
    <w:uiPriority w:val="99"/>
    <w:locked/>
    <w:rsid w:val="00D842FF"/>
    <w:rPr>
      <w:rFonts w:ascii="Arial" w:hAnsi="Arial" w:cs="Times New Roman"/>
      <w:b/>
      <w:sz w:val="24"/>
      <w:szCs w:val="24"/>
    </w:rPr>
  </w:style>
  <w:style w:type="paragraph" w:customStyle="1" w:styleId="CoverNormal">
    <w:name w:val="CoverNormal"/>
    <w:basedOn w:val="Normal"/>
    <w:link w:val="CoverNormalChar"/>
    <w:uiPriority w:val="99"/>
    <w:rsid w:val="00D842FF"/>
    <w:pPr>
      <w:contextualSpacing/>
      <w:jc w:val="center"/>
    </w:pPr>
    <w:rPr>
      <w:rFonts w:ascii="Arial" w:hAnsi="Arial"/>
    </w:rPr>
  </w:style>
  <w:style w:type="character" w:customStyle="1" w:styleId="CoverNormalChar">
    <w:name w:val="CoverNormal Char"/>
    <w:basedOn w:val="DefaultParagraphFont"/>
    <w:link w:val="CoverNormal"/>
    <w:uiPriority w:val="99"/>
    <w:locked/>
    <w:rsid w:val="00D842FF"/>
    <w:rPr>
      <w:rFonts w:ascii="Arial" w:hAnsi="Arial" w:cs="Times New Roman"/>
      <w:sz w:val="24"/>
      <w:szCs w:val="24"/>
    </w:rPr>
  </w:style>
  <w:style w:type="paragraph" w:customStyle="1" w:styleId="Halfline">
    <w:name w:val="Halfline"/>
    <w:basedOn w:val="Normal"/>
    <w:next w:val="Normal"/>
    <w:link w:val="HalflineChar"/>
    <w:uiPriority w:val="99"/>
    <w:rsid w:val="00DE632E"/>
    <w:pPr>
      <w:spacing w:after="130" w:line="130" w:lineRule="exact"/>
      <w:jc w:val="left"/>
    </w:pPr>
  </w:style>
  <w:style w:type="character" w:customStyle="1" w:styleId="HalflineChar">
    <w:name w:val="Halfline Char"/>
    <w:basedOn w:val="DefaultParagraphFont"/>
    <w:link w:val="Halfline"/>
    <w:uiPriority w:val="99"/>
    <w:locked/>
    <w:rsid w:val="00DE632E"/>
    <w:rPr>
      <w:rFonts w:ascii="Times New Roman" w:hAnsi="Times New Roman" w:cs="Times New Roman"/>
      <w:sz w:val="24"/>
      <w:szCs w:val="24"/>
    </w:rPr>
  </w:style>
  <w:style w:type="paragraph" w:customStyle="1" w:styleId="LetterheadParagraph">
    <w:name w:val="Letterhead Paragraph"/>
    <w:basedOn w:val="Normal"/>
    <w:uiPriority w:val="99"/>
    <w:rsid w:val="00573DEC"/>
    <w:pPr>
      <w:spacing w:after="0"/>
    </w:pPr>
    <w:rPr>
      <w:rFonts w:ascii="Arial Narrow" w:hAnsi="Arial Narrow"/>
    </w:rPr>
  </w:style>
  <w:style w:type="character" w:customStyle="1" w:styleId="tablefootnoteChar">
    <w:name w:val="table footnote Char"/>
    <w:basedOn w:val="DefaultParagraphFont"/>
    <w:link w:val="tablefootnote"/>
    <w:uiPriority w:val="99"/>
    <w:locked/>
    <w:rsid w:val="009D0319"/>
    <w:rPr>
      <w:rFonts w:ascii="Times New Roman" w:hAnsi="Times New Roman" w:cs="Times New Roman"/>
    </w:rPr>
  </w:style>
  <w:style w:type="paragraph" w:customStyle="1" w:styleId="TitleSub">
    <w:name w:val="TitleSub"/>
    <w:basedOn w:val="Title"/>
    <w:link w:val="TitleSubChar"/>
    <w:autoRedefine/>
    <w:uiPriority w:val="99"/>
    <w:rsid w:val="00682A57"/>
    <w:rPr>
      <w:b w:val="0"/>
      <w:sz w:val="32"/>
    </w:rPr>
  </w:style>
  <w:style w:type="character" w:customStyle="1" w:styleId="TitleSubChar">
    <w:name w:val="TitleSub Char"/>
    <w:basedOn w:val="TitleChar"/>
    <w:link w:val="TitleSub"/>
    <w:uiPriority w:val="99"/>
    <w:locked/>
    <w:rsid w:val="00682A57"/>
  </w:style>
  <w:style w:type="paragraph" w:customStyle="1" w:styleId="TitleAdd">
    <w:name w:val="TitleAdd"/>
    <w:basedOn w:val="Title"/>
    <w:link w:val="TitleAddChar"/>
    <w:autoRedefine/>
    <w:uiPriority w:val="99"/>
    <w:rsid w:val="00682A57"/>
    <w:rPr>
      <w:b w:val="0"/>
      <w:sz w:val="24"/>
      <w:szCs w:val="32"/>
    </w:rPr>
  </w:style>
  <w:style w:type="character" w:customStyle="1" w:styleId="TitleAddChar">
    <w:name w:val="TitleAdd Char"/>
    <w:basedOn w:val="TitleChar"/>
    <w:link w:val="TitleAdd"/>
    <w:uiPriority w:val="99"/>
    <w:locked/>
    <w:rsid w:val="00682A57"/>
    <w:rPr>
      <w:sz w:val="32"/>
      <w:szCs w:val="32"/>
    </w:rPr>
  </w:style>
  <w:style w:type="paragraph" w:customStyle="1" w:styleId="Normal2">
    <w:name w:val="Normal2"/>
    <w:basedOn w:val="Normal"/>
    <w:next w:val="pF"/>
    <w:uiPriority w:val="99"/>
    <w:rsid w:val="008E3D20"/>
    <w:pPr>
      <w:spacing w:after="0" w:line="280" w:lineRule="atLeast"/>
      <w:jc w:val="left"/>
    </w:pPr>
  </w:style>
  <w:style w:type="character" w:customStyle="1" w:styleId="pA2Char">
    <w:name w:val="pA2 Char"/>
    <w:basedOn w:val="DefaultParagraphFont"/>
    <w:link w:val="pA2"/>
    <w:uiPriority w:val="99"/>
    <w:locked/>
    <w:rsid w:val="008E3D20"/>
    <w:rPr>
      <w:rFonts w:ascii="Times New Roman" w:hAnsi="Times New Roman" w:cs="Times New Roman"/>
      <w:sz w:val="24"/>
      <w:szCs w:val="24"/>
    </w:rPr>
  </w:style>
  <w:style w:type="table" w:customStyle="1" w:styleId="ItronBasic">
    <w:name w:val="ItronBasic"/>
    <w:uiPriority w:val="99"/>
    <w:rsid w:val="00545A68"/>
    <w:rPr>
      <w:sz w:val="20"/>
      <w:szCs w:val="20"/>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CnAListBullets">
    <w:name w:val="CnAListBullets"/>
    <w:rsid w:val="00015479"/>
    <w:pPr>
      <w:numPr>
        <w:numId w:val="15"/>
      </w:numPr>
    </w:pPr>
  </w:style>
  <w:style w:type="numbering" w:customStyle="1" w:styleId="Itron">
    <w:name w:val="Itron"/>
    <w:rsid w:val="00015479"/>
    <w:pPr>
      <w:numPr>
        <w:numId w:val="14"/>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3FC1B-E0CF-4641-9B0C-310DB703E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1178</Words>
  <Characters>6469</Characters>
  <Application>Microsoft Office Word</Application>
  <DocSecurity>0</DocSecurity>
  <Lines>53</Lines>
  <Paragraphs>15</Paragraphs>
  <ScaleCrop>false</ScaleCrop>
  <Company>Itron</Company>
  <LinksUpToDate>false</LinksUpToDate>
  <CharactersWithSpaces>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dc:title>
  <dc:creator>Messenger, Mike</dc:creator>
  <cp:lastModifiedBy>ALEXK</cp:lastModifiedBy>
  <cp:revision>3</cp:revision>
  <cp:lastPrinted>2009-01-22T17:29:00Z</cp:lastPrinted>
  <dcterms:created xsi:type="dcterms:W3CDTF">2011-11-07T19:48:00Z</dcterms:created>
  <dcterms:modified xsi:type="dcterms:W3CDTF">2011-11-08T19:41:00Z</dcterms:modified>
</cp:coreProperties>
</file>